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32"/>
          <w:szCs w:val="32"/>
          <w:u w:val="none"/>
          <w:shd w:fill="auto" w:val="clear"/>
          <w:vertAlign w:val="baseline"/>
          <w:rtl w:val="0"/>
        </w:rPr>
        <w:t xml:space="preserve">The Impact of Major Political Announcements on Abnormal Returns in Large-Cap Technology Stocks Compared with the S&amp;P 500</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-704008</wp:posOffset>
                </wp:positionH>
                <wp:positionV relativeFrom="paragraph">
                  <wp:posOffset>-686079</wp:posOffset>
                </wp:positionV>
                <wp:extent cx="1587313" cy="332255"/>
                <wp:effectExtent b="0" l="0" r="0" t="0"/>
                <wp:wrapNone/>
                <wp:docPr id="1361095398" name=""/>
                <a:graphic>
                  <a:graphicData uri="http://schemas.microsoft.com/office/word/2010/wordprocessingShape">
                    <wps:wsp>
                      <wps:cNvSpPr/>
                      <wps:cNvPr id="3" name="Shape 3"/>
                      <wps:spPr>
                        <a:xfrm>
                          <a:off x="4557106" y="3618635"/>
                          <a:ext cx="1577788" cy="32273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t xml:space="preserve">August 7,2026</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-704008</wp:posOffset>
                </wp:positionH>
                <wp:positionV relativeFrom="paragraph">
                  <wp:posOffset>-686079</wp:posOffset>
                </wp:positionV>
                <wp:extent cx="1587313" cy="332255"/>
                <wp:effectExtent b="0" l="0" r="0" t="0"/>
                <wp:wrapNone/>
                <wp:docPr id="1361095398"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587313" cy="332255"/>
                        </a:xfrm>
                        <a:prstGeom prst="rect"/>
                        <a:ln/>
                      </pic:spPr>
                    </pic:pic>
                  </a:graphicData>
                </a:graphic>
              </wp:anchor>
            </w:drawing>
          </mc:Fallback>
        </mc:AlternateConten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3125153</wp:posOffset>
                </wp:positionH>
                <wp:positionV relativeFrom="page">
                  <wp:posOffset>1925094</wp:posOffset>
                </wp:positionV>
                <wp:extent cx="1309125" cy="358725"/>
                <wp:effectExtent b="0" l="0" r="0" t="0"/>
                <wp:wrapNone/>
                <wp:docPr id="1361095397" name=""/>
                <a:graphic>
                  <a:graphicData uri="http://schemas.microsoft.com/office/word/2010/wordprocessingShape">
                    <wps:wsp>
                      <wps:cNvSpPr/>
                      <wps:cNvPr id="2" name="Shape 2"/>
                      <wps:spPr>
                        <a:xfrm>
                          <a:off x="4696200" y="3605400"/>
                          <a:ext cx="1299600" cy="349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t xml:space="preserve">Aarav Bhagwat</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3125153</wp:posOffset>
                </wp:positionH>
                <wp:positionV relativeFrom="page">
                  <wp:posOffset>1925094</wp:posOffset>
                </wp:positionV>
                <wp:extent cx="1309125" cy="358725"/>
                <wp:effectExtent b="0" l="0" r="0" t="0"/>
                <wp:wrapNone/>
                <wp:docPr id="1361095397"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309125" cy="35872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3">
      <w:pPr>
        <w:jc w:val="center"/>
        <w:rPr>
          <w:b w:val="1"/>
          <w:bCs w:val="1"/>
          <w:sz w:val="28"/>
          <w:szCs w:val="28"/>
        </w:rPr>
      </w:pPr>
      <w:r w:rsidDel="00000000" w:rsidR="00000000" w:rsidRPr="00000000">
        <w:rPr>
          <w:i w:val="1"/>
          <w:iCs w:val="1"/>
          <w:rtl w:val="0"/>
        </w:rPr>
        <w:t xml:space="preserve">-High school student at </w:t>
      </w:r>
      <w:r w:rsidDel="00000000" w:rsidR="00000000" w:rsidRPr="00000000">
        <w:rPr>
          <w:b w:val="1"/>
          <w:bCs w:val="1"/>
          <w:i w:val="1"/>
          <w:iCs w:val="1"/>
          <w:rtl w:val="0"/>
        </w:rPr>
        <w:t xml:space="preserve">Gems Modern Academy</w:t>
      </w:r>
      <w:r w:rsidDel="00000000" w:rsidR="00000000" w:rsidRPr="00000000">
        <w:rPr>
          <w:b w:val="1"/>
          <w:bCs w:val="1"/>
          <w:rtl w:val="0"/>
        </w:rPr>
        <w:br w:type="textWrapping"/>
      </w:r>
      <w:r w:rsidDel="00000000" w:rsidR="00000000" w:rsidRPr="00000000">
        <w:rPr>
          <w:rtl w:val="0"/>
        </w:rPr>
      </w:r>
    </w:p>
    <w:p w:rsidR="00000000" w:rsidDel="00000000" w:rsidP="00000000" w:rsidRDefault="00000000" w:rsidRPr="00000000" w14:paraId="00000004">
      <w:pPr>
        <w:jc w:val="center"/>
        <w:rPr>
          <w:b w:val="1"/>
          <w:bCs w:val="1"/>
          <w:sz w:val="28"/>
          <w:szCs w:val="28"/>
        </w:rPr>
      </w:pPr>
      <w:r w:rsidDel="00000000" w:rsidR="00000000" w:rsidRPr="00000000">
        <w:rPr>
          <w:b w:val="1"/>
          <w:bCs w:val="1"/>
          <w:sz w:val="28"/>
          <w:szCs w:val="28"/>
          <w:rtl w:val="0"/>
        </w:rPr>
        <w:t xml:space="preserve">ABSTRACT</w:t>
      </w:r>
    </w:p>
    <w:p w:rsidR="00000000" w:rsidDel="00000000" w:rsidP="00000000" w:rsidRDefault="00000000" w:rsidRPr="00000000" w14:paraId="00000005">
      <w:pPr>
        <w:jc w:val="both"/>
        <w:rPr>
          <w:i w:val="1"/>
          <w:iCs w:val="1"/>
          <w:sz w:val="28"/>
          <w:szCs w:val="28"/>
        </w:rPr>
      </w:pPr>
      <w:r w:rsidDel="00000000" w:rsidR="00000000" w:rsidRPr="00000000">
        <w:rPr>
          <w:i w:val="1"/>
          <w:iCs w:val="1"/>
          <w:sz w:val="28"/>
          <w:szCs w:val="28"/>
          <w:rtl w:val="0"/>
        </w:rPr>
        <w:t xml:space="preserve">This study examines the impact of five major political announcements on the cumulative abnormal returns of three large cap technology stocks(Apple, Microsoft and Nvidia) relative to the broad S&amp;P 500 benchmark over the period of January 2022 to April 2025. This study used the standard event methodology based on MacKinlay, daily abnormal returns were calculated using the market model with an estimation period of 120 to 11 trading days prior to each event. The 5 events examined were the 2024 US presidential election, the Liberation Day tariff announcement, semiconductor export controls on China, the EU Digital Markets Act compliance deadline, and the signing of the CHIPS and Science Act. Out of 15 individual stock-event observations, only one produced statistically significant results, Apple during the EU Digital Markets Act compliance deadline. The technology basket only outperformed the raw S&amp;P 500 market in only out of the five events, this failed to support the initial hypothesis that large cap technology stocks generate higher abnormal returns relative to the broad S&amp;P 500 market. Limitations include the small number of stocks identified, the small number of events analysed which restricts the generalisability of the conclusions.</w:t>
      </w:r>
    </w:p>
    <w:p w:rsidR="00000000" w:rsidDel="00000000" w:rsidP="00000000" w:rsidRDefault="00000000" w:rsidRPr="00000000" w14:paraId="00000006">
      <w:pPr>
        <w:jc w:val="center"/>
        <w:rPr>
          <w:b w:val="1"/>
          <w:bCs w:val="1"/>
          <w:sz w:val="28"/>
          <w:szCs w:val="28"/>
        </w:rPr>
      </w:pPr>
      <w:r w:rsidDel="00000000" w:rsidR="00000000" w:rsidRPr="00000000">
        <w:rPr>
          <w:b w:val="1"/>
          <w:bCs w:val="1"/>
          <w:sz w:val="28"/>
          <w:szCs w:val="28"/>
          <w:rtl w:val="0"/>
        </w:rPr>
        <w:br w:type="textWrapping"/>
        <w:t xml:space="preserve">INTRODUCTION</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The S&amp;P 500 is a stock market index of 500 of the largest publicly traded companies in the United States. It acts as a benchmark for the overall performance of the U.S. stock market. As larger companies have a higher influence on the index, the index's movements are disproportionately driven by its largest holdings, and today, large-cap companies such as Apple, Microsoft and Nvidia make up a large proportion of the index's value. This raises the possibility that political announcements in favour of large-cap technology companies can cause sharp abnormal movement of the entire index.</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z w:val="28"/>
          <w:szCs w:val="28"/>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Major political announcements such as elections, international relations, and tariffs have historically had a strong impact on technology companies. This is because tech companies rely heavily on international markets. This warrants further investigation of whether large-cap technology companies react more strongly to political announcements than the overall market. While researchers have already studied the impact of political announcements on the market generally, few studies focus on comparing large-cap companies to the broad S&amp;P 500 after influential political announcements such as elections and tariffs. This paper aims to reach a clear conclusion on whether large-cap technology companies show abnormal movements that are different in size from the broad S&amp;P 500 around major political announcements. The hypothesis of this study is that large-cap tech companies have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statistically significant CARs exceeding the S</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&amp;P 500 benchmark </w:t>
      </w:r>
      <w:r w:rsidDel="00000000" w:rsidR="00000000" w:rsidRPr="00000000">
        <w:rPr>
          <w:i w:val="1"/>
          <w:iCs w:val="1"/>
          <w:sz w:val="28"/>
          <w:szCs w:val="28"/>
          <w:rtl w:val="0"/>
        </w:rPr>
        <w:t xml:space="preserve">return</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over the same event window</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following political </w:t>
      </w:r>
      <w:r w:rsidDel="00000000" w:rsidR="00000000" w:rsidRPr="00000000">
        <w:rPr>
          <w:i w:val="1"/>
          <w:iCs w:val="1"/>
          <w:sz w:val="28"/>
          <w:szCs w:val="28"/>
          <w:rtl w:val="0"/>
        </w:rPr>
        <w:t xml:space="preserve">events.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z w:val="28"/>
          <w:szCs w:val="28"/>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1"/>
          <w:iCs w:val="1"/>
          <w:sz w:val="28"/>
          <w:szCs w:val="28"/>
        </w:rPr>
      </w:pPr>
      <w:r w:rsidDel="00000000" w:rsidR="00000000" w:rsidRPr="00000000">
        <w:rPr>
          <w:i w:val="1"/>
          <w:iCs w:val="1"/>
          <w:sz w:val="28"/>
          <w:szCs w:val="28"/>
          <w:rtl w:val="0"/>
        </w:rPr>
        <w:t xml:space="preserve">To reach a conclusion, daily stock price data for a group of large cap technology companies(Apple, Nvidia and Microsoft) and the S&amp;P 500 are collected from Yahoo Finance. Using the estimation period, a market model, each stock's actual returns are compared to the expected return, and these are summed into a cumulative abnormal return (CAR) for each event. The CARs of the technology basket are then compared to the S&amp;P 500's return over the same event period to discover whether technology stocks reacted more greatly to political announcements than the S&amp;P 500, which acted as the broad market in this study.</w:t>
      </w:r>
      <w:r w:rsidDel="00000000" w:rsidR="00000000" w:rsidRPr="00000000">
        <w:rPr>
          <w:b w:val="1"/>
          <w:bCs w:val="1"/>
          <w:i w:val="1"/>
          <w:iCs w:val="1"/>
          <w:sz w:val="28"/>
          <w:szCs w:val="28"/>
          <w:rtl w:val="0"/>
        </w:rPr>
        <w:br w:type="textWrapping"/>
        <w:br w:type="textWrapping"/>
      </w:r>
    </w:p>
    <w:p w:rsidR="00000000" w:rsidDel="00000000" w:rsidP="00000000" w:rsidRDefault="00000000" w:rsidRPr="00000000" w14:paraId="0000000B">
      <w:pPr>
        <w:jc w:val="center"/>
        <w:rPr>
          <w:b w:val="1"/>
          <w:bCs w:val="1"/>
          <w:sz w:val="28"/>
          <w:szCs w:val="28"/>
        </w:rPr>
      </w:pPr>
      <w:r w:rsidDel="00000000" w:rsidR="00000000" w:rsidRPr="00000000">
        <w:rPr>
          <w:b w:val="1"/>
          <w:bCs w:val="1"/>
          <w:sz w:val="32"/>
          <w:szCs w:val="32"/>
          <w:rtl w:val="0"/>
        </w:rPr>
        <w:t xml:space="preserve">Literature Review </w:t>
        <w:br w:type="textWrapping"/>
      </w:r>
      <w:r w:rsidDel="00000000" w:rsidR="00000000" w:rsidRPr="00000000">
        <w:rPr>
          <w:rtl w:val="0"/>
        </w:rPr>
      </w:r>
    </w:p>
    <w:p w:rsidR="00000000" w:rsidDel="00000000" w:rsidP="00000000" w:rsidRDefault="00000000" w:rsidRPr="00000000" w14:paraId="0000000C">
      <w:pPr>
        <w:rPr>
          <w:i w:val="1"/>
          <w:iCs w:val="1"/>
          <w:sz w:val="28"/>
          <w:szCs w:val="28"/>
        </w:rPr>
      </w:pPr>
      <w:r w:rsidDel="00000000" w:rsidR="00000000" w:rsidRPr="00000000">
        <w:rPr>
          <w:i w:val="1"/>
          <w:iCs w:val="1"/>
          <w:sz w:val="28"/>
          <w:szCs w:val="28"/>
          <w:rtl w:val="0"/>
        </w:rPr>
        <w:t xml:space="preserve">The event study methodology used in this study was first formalized by Fama, Fisher, Jensen and Roll, who made the framework of using financial market to examine the impact of specific events on stock returns by separating abnormal returns from expected market returns. Their foundational study demonstrated that stock prices adjust rapidly and efficiently to new information, establishing the theoretical basis for measuring abnormal returns around specific events. MacKinlay (1997) later provided the most widely cited and comprehensive framework for conducting event studies in economics and finance, establishing the market model as the standard approach for estimating expected returns and formalising the calculation of cumulative abnormal returns over a defined event window. This study directly follows the methodology outlined by MacKinlay (1997), using an estimation window of 120 to 11 trading days prior to each event and a symmetric event window of (-5, +5) trading days.</w:t>
      </w:r>
    </w:p>
    <w:p w:rsidR="00000000" w:rsidDel="00000000" w:rsidP="00000000" w:rsidRDefault="00000000" w:rsidRPr="00000000" w14:paraId="0000000D">
      <w:pPr>
        <w:rPr>
          <w:i w:val="1"/>
          <w:iCs w:val="1"/>
          <w:sz w:val="28"/>
          <w:szCs w:val="28"/>
        </w:rPr>
      </w:pPr>
      <w:r w:rsidDel="00000000" w:rsidR="00000000" w:rsidRPr="00000000">
        <w:rPr>
          <w:rtl w:val="0"/>
        </w:rPr>
      </w:r>
    </w:p>
    <w:p w:rsidR="00000000" w:rsidDel="00000000" w:rsidP="00000000" w:rsidRDefault="00000000" w:rsidRPr="00000000" w14:paraId="0000000E">
      <w:pPr>
        <w:rPr>
          <w:i w:val="1"/>
          <w:iCs w:val="1"/>
          <w:sz w:val="28"/>
          <w:szCs w:val="28"/>
        </w:rPr>
      </w:pPr>
      <w:r w:rsidDel="00000000" w:rsidR="00000000" w:rsidRPr="00000000">
        <w:rPr>
          <w:i w:val="1"/>
          <w:iCs w:val="1"/>
          <w:sz w:val="28"/>
          <w:szCs w:val="28"/>
          <w:rtl w:val="0"/>
        </w:rPr>
        <w:t xml:space="preserve">The relationship between political announcements and reaction of stock market has been studied in depth in existing literature. Boutchkova, Doshi, Durnev and </w:t>
      </w:r>
      <w:r w:rsidDel="00000000" w:rsidR="00000000" w:rsidRPr="00000000">
        <w:rPr>
          <w:color w:val="000000"/>
          <w:sz w:val="28"/>
          <w:szCs w:val="28"/>
          <w:rtl w:val="0"/>
        </w:rPr>
        <w:t xml:space="preserve">Molchanov</w:t>
      </w:r>
      <w:r w:rsidDel="00000000" w:rsidR="00000000" w:rsidRPr="00000000">
        <w:rPr>
          <w:rFonts w:ascii="-webkit-standard" w:cs="-webkit-standard" w:eastAsia="-webkit-standard" w:hAnsi="-webkit-standard"/>
          <w:color w:val="000000"/>
          <w:sz w:val="27"/>
          <w:szCs w:val="27"/>
          <w:rtl w:val="0"/>
        </w:rPr>
        <w:t xml:space="preserve"> P</w:t>
      </w:r>
      <w:r w:rsidDel="00000000" w:rsidR="00000000" w:rsidRPr="00000000">
        <w:rPr>
          <w:i w:val="1"/>
          <w:iCs w:val="1"/>
          <w:sz w:val="28"/>
          <w:szCs w:val="28"/>
          <w:rtl w:val="0"/>
        </w:rPr>
        <w:t xml:space="preserve"> (2012) established that industries that are exposed to government policies tend to exhibit significantly high stock return volatility around major political announcements. Their findings demonstrate that political uncertainty is not uniformly spread across all sectors with technology companies facing disproportionate exposure due to their reliance on international trade, regulatory frameworks, and government contracts. This relates with the current study of which examines whether large-cap technology stocks generate abnormal returns that differ meaningfully from the broad market around major political announcements.</w:t>
      </w:r>
    </w:p>
    <w:p w:rsidR="00000000" w:rsidDel="00000000" w:rsidP="00000000" w:rsidRDefault="00000000" w:rsidRPr="00000000" w14:paraId="0000000F">
      <w:pPr>
        <w:rPr>
          <w:i w:val="1"/>
          <w:iCs w:val="1"/>
          <w:sz w:val="28"/>
          <w:szCs w:val="28"/>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z w:val="28"/>
          <w:szCs w:val="28"/>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The buy the rumour sell the news phenomenon</w:t>
      </w:r>
      <w:r w:rsidDel="00000000" w:rsidR="00000000" w:rsidRPr="00000000">
        <w:rPr>
          <w:i w:val="1"/>
          <w:iCs w:val="1"/>
          <w:sz w:val="28"/>
          <w:szCs w:val="28"/>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is well documented in the behavioural finance literature. Brunnermeier </w:t>
      </w:r>
      <w:r w:rsidDel="00000000" w:rsidR="00000000" w:rsidRPr="00000000">
        <w:rPr>
          <w:i w:val="1"/>
          <w:iCs w:val="1"/>
          <w:sz w:val="28"/>
          <w:szCs w:val="28"/>
          <w:rtl w:val="0"/>
        </w:rPr>
        <w:t xml:space="preserve">showed</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that informed traders </w:t>
      </w:r>
      <w:r w:rsidDel="00000000" w:rsidR="00000000" w:rsidRPr="00000000">
        <w:rPr>
          <w:i w:val="1"/>
          <w:iCs w:val="1"/>
          <w:sz w:val="28"/>
          <w:szCs w:val="28"/>
          <w:rtl w:val="0"/>
        </w:rPr>
        <w:t xml:space="preserve">preempt</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anticipated positive announcements, </w:t>
      </w:r>
      <w:r w:rsidDel="00000000" w:rsidR="00000000" w:rsidRPr="00000000">
        <w:rPr>
          <w:i w:val="1"/>
          <w:iCs w:val="1"/>
          <w:sz w:val="28"/>
          <w:szCs w:val="28"/>
          <w:rtl w:val="0"/>
        </w:rPr>
        <w:t xml:space="preserve">building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positions in advance and liquidating them once the event </w:t>
      </w:r>
      <w:r w:rsidDel="00000000" w:rsidR="00000000" w:rsidRPr="00000000">
        <w:rPr>
          <w:i w:val="1"/>
          <w:iCs w:val="1"/>
          <w:sz w:val="28"/>
          <w:szCs w:val="28"/>
          <w:rtl w:val="0"/>
        </w:rPr>
        <w:t xml:space="preserve">occurs</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causing prices to decline despite</w:t>
      </w:r>
      <w:r w:rsidDel="00000000" w:rsidR="00000000" w:rsidRPr="00000000">
        <w:rPr>
          <w:i w:val="1"/>
          <w:iCs w:val="1"/>
          <w:sz w:val="28"/>
          <w:szCs w:val="28"/>
          <w:rtl w:val="0"/>
        </w:rPr>
        <w:t xml:space="preserve"> the positive nature of the announcement.The comprehensive legislative discussion surrounding the CHIPS and Science Act for months before its official signing in August 2022 allowed markets to anticipate its expected advantages, clarifying the unexpected negative cumulative abnormal return seen for Nvidia during the event window.</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br w:type="textWrapping"/>
        <w:t xml:space="preserve">While the existing literature has extensively studied the impact of political announcements on stock markets generally, </w:t>
      </w:r>
      <w:r w:rsidDel="00000000" w:rsidR="00000000" w:rsidRPr="00000000">
        <w:rPr>
          <w:i w:val="1"/>
          <w:iCs w:val="1"/>
          <w:sz w:val="28"/>
          <w:szCs w:val="28"/>
          <w:rtl w:val="0"/>
        </w:rPr>
        <w:t xml:space="preserve">only a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few studies focus specifically on comparing the abnormal returns of individual large</w:t>
      </w:r>
      <w:r w:rsidDel="00000000" w:rsidR="00000000" w:rsidRPr="00000000">
        <w:rPr>
          <w:i w:val="1"/>
          <w:iCs w:val="1"/>
          <w:sz w:val="28"/>
          <w:szCs w:val="28"/>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cap technology stocks against the broad S&amp;P 500 ma</w:t>
      </w:r>
      <w:r w:rsidDel="00000000" w:rsidR="00000000" w:rsidRPr="00000000">
        <w:rPr>
          <w:i w:val="1"/>
          <w:iCs w:val="1"/>
          <w:sz w:val="28"/>
          <w:szCs w:val="28"/>
          <w:rtl w:val="0"/>
        </w:rPr>
        <w:t xml:space="preserve">rket</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across a range of different political </w:t>
      </w:r>
      <w:r w:rsidDel="00000000" w:rsidR="00000000" w:rsidRPr="00000000">
        <w:rPr>
          <w:i w:val="1"/>
          <w:iCs w:val="1"/>
          <w:sz w:val="28"/>
          <w:szCs w:val="28"/>
          <w:rtl w:val="0"/>
        </w:rPr>
        <w:t xml:space="preserve">events.</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Most existing studies either examine the technology sector as a whole, focus on a single type of political event</w:t>
      </w:r>
      <w:r w:rsidDel="00000000" w:rsidR="00000000" w:rsidRPr="00000000">
        <w:rPr>
          <w:i w:val="1"/>
          <w:iCs w:val="1"/>
          <w:sz w:val="28"/>
          <w:szCs w:val="28"/>
          <w:rtl w:val="0"/>
        </w:rPr>
        <w:t xml:space="preserve"> or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compare across industries rather than comparing individual stocks.This study contributes to the existing literature by providing firm</w:t>
      </w:r>
      <w:r w:rsidDel="00000000" w:rsidR="00000000" w:rsidRPr="00000000">
        <w:rPr>
          <w:i w:val="1"/>
          <w:iCs w:val="1"/>
          <w:sz w:val="28"/>
          <w:szCs w:val="28"/>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level evidence across five distinct categories of political announcement, demonstrating that the specificity and direct financial impact of a political announcement on an individual firm is a stronger determinant of abnormal return magnitude than the scale or visibility of the announcement itself.</w:t>
      </w:r>
      <w:r w:rsidDel="00000000" w:rsidR="00000000" w:rsidRPr="00000000">
        <w:rPr>
          <w:rtl w:val="0"/>
        </w:rPr>
      </w:r>
    </w:p>
    <w:p w:rsidR="00000000" w:rsidDel="00000000" w:rsidP="00000000" w:rsidRDefault="00000000" w:rsidRPr="00000000" w14:paraId="00000012">
      <w:pPr>
        <w:rPr>
          <w:i w:val="1"/>
          <w:iCs w:val="1"/>
          <w:sz w:val="28"/>
          <w:szCs w:val="28"/>
        </w:rPr>
      </w:pPr>
      <w:r w:rsidDel="00000000" w:rsidR="00000000" w:rsidRPr="00000000">
        <w:rPr>
          <w:rtl w:val="0"/>
        </w:rPr>
      </w:r>
    </w:p>
    <w:p w:rsidR="00000000" w:rsidDel="00000000" w:rsidP="00000000" w:rsidRDefault="00000000" w:rsidRPr="00000000" w14:paraId="00000013">
      <w:pPr>
        <w:jc w:val="center"/>
        <w:rPr>
          <w:b w:val="1"/>
          <w:bCs w:val="1"/>
          <w:i w:val="1"/>
          <w:iCs w:val="1"/>
          <w:sz w:val="32"/>
          <w:szCs w:val="32"/>
        </w:rPr>
      </w:pPr>
      <w:r w:rsidDel="00000000" w:rsidR="00000000" w:rsidRPr="00000000">
        <w:rPr>
          <w:b w:val="1"/>
          <w:bCs w:val="1"/>
          <w:sz w:val="32"/>
          <w:szCs w:val="32"/>
          <w:rtl w:val="0"/>
        </w:rPr>
        <w:t xml:space="preserve">Methodology</w:t>
        <w:br w:type="textWrapping"/>
      </w:r>
      <w:r w:rsidDel="00000000" w:rsidR="00000000" w:rsidRPr="00000000">
        <w:rPr>
          <w:rtl w:val="0"/>
        </w:rPr>
      </w:r>
    </w:p>
    <w:p w:rsidR="00000000" w:rsidDel="00000000" w:rsidP="00000000" w:rsidRDefault="00000000" w:rsidRPr="00000000" w14:paraId="00000014">
      <w:pPr>
        <w:rPr>
          <w:i w:val="1"/>
          <w:iCs w:val="1"/>
          <w:sz w:val="28"/>
          <w:szCs w:val="28"/>
        </w:rPr>
      </w:pPr>
      <w:r w:rsidDel="00000000" w:rsidR="00000000" w:rsidRPr="00000000">
        <w:rPr>
          <w:i w:val="1"/>
          <w:iCs w:val="1"/>
          <w:sz w:val="28"/>
          <w:szCs w:val="28"/>
          <w:rtl w:val="0"/>
        </w:rPr>
        <w:t xml:space="preserve">This study uses the daily closing prices of three large cap technology companies (Apple, Microsoft and Nvidia) and the S&amp;P 500 index from January 3,2022 to April 30,2025 collected from Yahoo Finance.</w:t>
        <w:br w:type="textWrapping"/>
        <w:br w:type="textWrapping"/>
        <w:t xml:space="preserve">The five major political announcements selected for this study were the 2024 US presidential elections, the liberation day tariff announcement, semiconductor export controls on China, the EU Digital Markets Act compliance deadline, and the signing of the CHIPS and Science Act. These were selected to provide a variety of types of announcements relevant to the technology sector.</w:t>
      </w:r>
    </w:p>
    <w:p w:rsidR="00000000" w:rsidDel="00000000" w:rsidP="00000000" w:rsidRDefault="00000000" w:rsidRPr="00000000" w14:paraId="00000015">
      <w:pPr>
        <w:rPr>
          <w:i w:val="1"/>
          <w:iCs w:val="1"/>
          <w:sz w:val="28"/>
          <w:szCs w:val="28"/>
        </w:rPr>
      </w:pPr>
      <w:r w:rsidDel="00000000" w:rsidR="00000000" w:rsidRPr="00000000">
        <w:rPr>
          <w:rtl w:val="0"/>
        </w:rPr>
      </w:r>
    </w:p>
    <w:tbl>
      <w:tblPr>
        <w:tblStyle w:val="Table1"/>
        <w:tblW w:w="85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22"/>
        <w:gridCol w:w="4423"/>
        <w:tblGridChange w:id="0">
          <w:tblGrid>
            <w:gridCol w:w="4122"/>
            <w:gridCol w:w="4423"/>
          </w:tblGrid>
        </w:tblGridChange>
      </w:tblGrid>
      <w:tr>
        <w:trPr>
          <w:cantSplit w:val="0"/>
          <w:trHeight w:val="393" w:hRule="atLeast"/>
          <w:tblHeader w:val="0"/>
        </w:trPr>
        <w:tc>
          <w:tcPr/>
          <w:p w:rsidR="00000000" w:rsidDel="00000000" w:rsidP="00000000" w:rsidRDefault="00000000" w:rsidRPr="00000000" w14:paraId="00000016">
            <w:pPr>
              <w:jc w:val="center"/>
              <w:rPr>
                <w:b w:val="1"/>
                <w:bCs w:val="1"/>
              </w:rPr>
            </w:pPr>
            <w:r w:rsidDel="00000000" w:rsidR="00000000" w:rsidRPr="00000000">
              <w:rPr>
                <w:b w:val="1"/>
                <w:bCs w:val="1"/>
                <w:rtl w:val="0"/>
              </w:rPr>
              <w:t xml:space="preserve">Event</w:t>
            </w:r>
          </w:p>
        </w:tc>
        <w:tc>
          <w:tcPr/>
          <w:p w:rsidR="00000000" w:rsidDel="00000000" w:rsidP="00000000" w:rsidRDefault="00000000" w:rsidRPr="00000000" w14:paraId="00000017">
            <w:pPr>
              <w:jc w:val="center"/>
              <w:rPr>
                <w:b w:val="1"/>
                <w:bCs w:val="1"/>
              </w:rPr>
            </w:pPr>
            <w:r w:rsidDel="00000000" w:rsidR="00000000" w:rsidRPr="00000000">
              <w:rPr>
                <w:b w:val="1"/>
                <w:bCs w:val="1"/>
                <w:rtl w:val="0"/>
              </w:rPr>
              <w:t xml:space="preserve">Date Used as Day Zero</w:t>
            </w:r>
          </w:p>
        </w:tc>
      </w:tr>
      <w:tr>
        <w:trPr>
          <w:cantSplit w:val="0"/>
          <w:trHeight w:val="393" w:hRule="atLeast"/>
          <w:tblHeader w:val="0"/>
        </w:trPr>
        <w:tc>
          <w:tcPr/>
          <w:p w:rsidR="00000000" w:rsidDel="00000000" w:rsidP="00000000" w:rsidRDefault="00000000" w:rsidRPr="00000000" w14:paraId="00000018">
            <w:pPr>
              <w:rPr/>
            </w:pPr>
            <w:r w:rsidDel="00000000" w:rsidR="00000000" w:rsidRPr="00000000">
              <w:rPr>
                <w:rtl w:val="0"/>
              </w:rPr>
              <w:t xml:space="preserve">CHIPS Act Signed</w:t>
            </w:r>
          </w:p>
        </w:tc>
        <w:tc>
          <w:tcPr/>
          <w:p w:rsidR="00000000" w:rsidDel="00000000" w:rsidP="00000000" w:rsidRDefault="00000000" w:rsidRPr="00000000" w14:paraId="00000019">
            <w:pPr>
              <w:rPr/>
            </w:pPr>
            <w:r w:rsidDel="00000000" w:rsidR="00000000" w:rsidRPr="00000000">
              <w:rPr>
                <w:rtl w:val="0"/>
              </w:rPr>
              <w:t xml:space="preserve">August 9, 2022</w:t>
            </w:r>
          </w:p>
        </w:tc>
      </w:tr>
      <w:tr>
        <w:trPr>
          <w:cantSplit w:val="0"/>
          <w:trHeight w:val="393" w:hRule="atLeast"/>
          <w:tblHeader w:val="0"/>
        </w:trPr>
        <w:tc>
          <w:tcPr/>
          <w:p w:rsidR="00000000" w:rsidDel="00000000" w:rsidP="00000000" w:rsidRDefault="00000000" w:rsidRPr="00000000" w14:paraId="0000001A">
            <w:pPr>
              <w:rPr/>
            </w:pPr>
            <w:r w:rsidDel="00000000" w:rsidR="00000000" w:rsidRPr="00000000">
              <w:rPr>
                <w:rtl w:val="0"/>
              </w:rPr>
              <w:t xml:space="preserve">Chip Export Controls</w:t>
            </w:r>
          </w:p>
        </w:tc>
        <w:tc>
          <w:tcPr/>
          <w:p w:rsidR="00000000" w:rsidDel="00000000" w:rsidP="00000000" w:rsidRDefault="00000000" w:rsidRPr="00000000" w14:paraId="0000001B">
            <w:pPr>
              <w:rPr/>
            </w:pPr>
            <w:r w:rsidDel="00000000" w:rsidR="00000000" w:rsidRPr="00000000">
              <w:rPr>
                <w:rtl w:val="0"/>
              </w:rPr>
              <w:t xml:space="preserve">October 7, 2022</w:t>
            </w:r>
          </w:p>
        </w:tc>
      </w:tr>
      <w:tr>
        <w:trPr>
          <w:cantSplit w:val="0"/>
          <w:trHeight w:val="393" w:hRule="atLeast"/>
          <w:tblHeader w:val="0"/>
        </w:trPr>
        <w:tc>
          <w:tcPr/>
          <w:p w:rsidR="00000000" w:rsidDel="00000000" w:rsidP="00000000" w:rsidRDefault="00000000" w:rsidRPr="00000000" w14:paraId="0000001C">
            <w:pPr>
              <w:rPr/>
            </w:pPr>
            <w:r w:rsidDel="00000000" w:rsidR="00000000" w:rsidRPr="00000000">
              <w:rPr>
                <w:rtl w:val="0"/>
              </w:rPr>
              <w:t xml:space="preserve">EU DMA Compliance</w:t>
            </w:r>
          </w:p>
        </w:tc>
        <w:tc>
          <w:tcPr/>
          <w:p w:rsidR="00000000" w:rsidDel="00000000" w:rsidP="00000000" w:rsidRDefault="00000000" w:rsidRPr="00000000" w14:paraId="0000001D">
            <w:pPr>
              <w:rPr/>
            </w:pPr>
            <w:r w:rsidDel="00000000" w:rsidR="00000000" w:rsidRPr="00000000">
              <w:rPr>
                <w:rtl w:val="0"/>
              </w:rPr>
              <w:t xml:space="preserve">March 6, 2024</w:t>
            </w:r>
          </w:p>
        </w:tc>
      </w:tr>
      <w:tr>
        <w:trPr>
          <w:cantSplit w:val="0"/>
          <w:trHeight w:val="393" w:hRule="atLeast"/>
          <w:tblHeader w:val="0"/>
        </w:trPr>
        <w:tc>
          <w:tcPr/>
          <w:p w:rsidR="00000000" w:rsidDel="00000000" w:rsidP="00000000" w:rsidRDefault="00000000" w:rsidRPr="00000000" w14:paraId="0000001E">
            <w:pPr>
              <w:rPr/>
            </w:pPr>
            <w:r w:rsidDel="00000000" w:rsidR="00000000" w:rsidRPr="00000000">
              <w:rPr>
                <w:rtl w:val="0"/>
              </w:rPr>
              <w:t xml:space="preserve">2024 Election</w:t>
            </w:r>
          </w:p>
        </w:tc>
        <w:tc>
          <w:tcPr/>
          <w:p w:rsidR="00000000" w:rsidDel="00000000" w:rsidP="00000000" w:rsidRDefault="00000000" w:rsidRPr="00000000" w14:paraId="0000001F">
            <w:pPr>
              <w:rPr/>
            </w:pPr>
            <w:r w:rsidDel="00000000" w:rsidR="00000000" w:rsidRPr="00000000">
              <w:rPr>
                <w:rtl w:val="0"/>
              </w:rPr>
              <w:t xml:space="preserve">November 6, 2024</w:t>
            </w:r>
          </w:p>
        </w:tc>
      </w:tr>
      <w:tr>
        <w:trPr>
          <w:cantSplit w:val="0"/>
          <w:trHeight w:val="393" w:hRule="atLeast"/>
          <w:tblHeader w:val="0"/>
        </w:trPr>
        <w:tc>
          <w:tcPr/>
          <w:p w:rsidR="00000000" w:rsidDel="00000000" w:rsidP="00000000" w:rsidRDefault="00000000" w:rsidRPr="00000000" w14:paraId="00000020">
            <w:pPr>
              <w:rPr/>
            </w:pPr>
            <w:r w:rsidDel="00000000" w:rsidR="00000000" w:rsidRPr="00000000">
              <w:rPr>
                <w:rtl w:val="0"/>
              </w:rPr>
              <w:t xml:space="preserve">Liberation Day Tariffs</w:t>
            </w:r>
          </w:p>
        </w:tc>
        <w:tc>
          <w:tcPr/>
          <w:p w:rsidR="00000000" w:rsidDel="00000000" w:rsidP="00000000" w:rsidRDefault="00000000" w:rsidRPr="00000000" w14:paraId="00000021">
            <w:pPr>
              <w:rPr/>
            </w:pPr>
            <w:r w:rsidDel="00000000" w:rsidR="00000000" w:rsidRPr="00000000">
              <w:rPr>
                <w:rtl w:val="0"/>
              </w:rPr>
              <w:t xml:space="preserve">April 2, 2025</w:t>
            </w:r>
          </w:p>
        </w:tc>
      </w:tr>
    </w:tbl>
    <w:p w:rsidR="00000000" w:rsidDel="00000000" w:rsidP="00000000" w:rsidRDefault="00000000" w:rsidRPr="00000000" w14:paraId="00000022">
      <w:pPr>
        <w:rPr>
          <w:i w:val="1"/>
          <w:iCs w:val="1"/>
          <w:sz w:val="28"/>
          <w:szCs w:val="28"/>
        </w:rPr>
      </w:pPr>
      <w:r w:rsidDel="00000000" w:rsidR="00000000" w:rsidRPr="00000000">
        <w:rPr>
          <w:i w:val="1"/>
          <w:iCs w:val="1"/>
          <w:sz w:val="28"/>
          <w:szCs w:val="28"/>
          <w:rtl w:val="0"/>
        </w:rPr>
        <w:br w:type="textWrapping"/>
        <w:br w:type="textWrapping"/>
        <w:t xml:space="preserve">Daily returns for each stock were calculated using;</w:t>
        <w:br w:type="textWrapping"/>
      </w:r>
    </w:p>
    <w:p w:rsidR="00000000" w:rsidDel="00000000" w:rsidP="00000000" w:rsidRDefault="00000000" w:rsidRPr="00000000" w14:paraId="00000023">
      <w:pPr>
        <w:jc w:val="center"/>
        <w:rPr>
          <w:rFonts w:ascii="Cambria Math" w:cs="Cambria Math" w:eastAsia="Cambria Math" w:hAnsi="Cambria Math"/>
          <w:sz w:val="32"/>
          <w:szCs w:val="32"/>
        </w:rPr>
      </w:pPr>
      <m:oMath>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 xml:space="preserve">R</m:t>
            </m:r>
          </m:e>
          <m:sub>
            <m:r>
              <w:rPr>
                <w:rFonts w:ascii="Cambria Math" w:cs="Cambria Math" w:eastAsia="Cambria Math" w:hAnsi="Cambria Math"/>
                <w:sz w:val="32"/>
                <w:szCs w:val="32"/>
              </w:rPr>
              <m:t xml:space="preserve">t</m:t>
            </m:r>
          </m:sub>
        </m:sSub>
        <m:r>
          <w:rPr>
            <w:rFonts w:ascii="Cambria Math" w:cs="Cambria Math" w:eastAsia="Cambria Math" w:hAnsi="Cambria Math"/>
            <w:sz w:val="32"/>
            <w:szCs w:val="32"/>
          </w:rPr>
          <m:t xml:space="preserve">=</m:t>
        </m:r>
        <m:f>
          <m:fPr>
            <m:ctrlPr>
              <w:rPr>
                <w:rFonts w:ascii="Cambria Math" w:cs="Cambria Math" w:eastAsia="Cambria Math" w:hAnsi="Cambria Math"/>
                <w:sz w:val="32"/>
                <w:szCs w:val="32"/>
              </w:rPr>
            </m:ctrlPr>
          </m:fPr>
          <m:num>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 xml:space="preserve">P</m:t>
                </m:r>
              </m:e>
              <m:sub>
                <m:r>
                  <w:rPr>
                    <w:rFonts w:ascii="Cambria Math" w:cs="Cambria Math" w:eastAsia="Cambria Math" w:hAnsi="Cambria Math"/>
                    <w:sz w:val="32"/>
                    <w:szCs w:val="32"/>
                  </w:rPr>
                  <m:t xml:space="preserve">t</m:t>
                </m:r>
              </m:sub>
            </m:sSub>
            <m:r>
              <w:rPr>
                <w:rFonts w:ascii="Cambria Math" w:cs="Cambria Math" w:eastAsia="Cambria Math" w:hAnsi="Cambria Math"/>
                <w:sz w:val="32"/>
                <w:szCs w:val="32"/>
              </w:rPr>
              <m:t xml:space="preserve">-</m:t>
            </m:r>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 xml:space="preserve">P</m:t>
                </m:r>
              </m:e>
              <m:sub>
                <m:r>
                  <w:rPr>
                    <w:rFonts w:ascii="Cambria Math" w:cs="Cambria Math" w:eastAsia="Cambria Math" w:hAnsi="Cambria Math"/>
                    <w:sz w:val="32"/>
                    <w:szCs w:val="32"/>
                  </w:rPr>
                  <m:t xml:space="preserve">t-1</m:t>
                </m:r>
              </m:sub>
            </m:sSub>
          </m:num>
          <m:den>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 xml:space="preserve">P</m:t>
                </m:r>
              </m:e>
              <m:sub>
                <m:r>
                  <w:rPr>
                    <w:rFonts w:ascii="Cambria Math" w:cs="Cambria Math" w:eastAsia="Cambria Math" w:hAnsi="Cambria Math"/>
                    <w:sz w:val="32"/>
                    <w:szCs w:val="32"/>
                  </w:rPr>
                  <m:t xml:space="preserve">t-1</m:t>
                </m:r>
              </m:sub>
            </m:sSub>
          </m:den>
        </m:f>
      </m:oMath>
      <w:r w:rsidDel="00000000" w:rsidR="00000000" w:rsidRPr="00000000">
        <w:rPr>
          <w:rtl w:val="0"/>
        </w:rPr>
      </w:r>
    </w:p>
    <w:p w:rsidR="00000000" w:rsidDel="00000000" w:rsidP="00000000" w:rsidRDefault="00000000" w:rsidRPr="00000000" w14:paraId="00000024">
      <w:pPr>
        <w:jc w:val="center"/>
        <w:rPr>
          <w:rFonts w:ascii="Cambria Math" w:cs="Cambria Math" w:eastAsia="Cambria Math" w:hAnsi="Cambria Math"/>
          <w:sz w:val="28"/>
          <w:szCs w:val="28"/>
        </w:rPr>
      </w:pPr>
      <w:r w:rsidDel="00000000" w:rsidR="00000000" w:rsidRPr="00000000">
        <w:rPr>
          <w:i w:val="1"/>
          <w:iCs w:val="1"/>
          <w:sz w:val="28"/>
          <w:szCs w:val="28"/>
          <w:rtl w:val="0"/>
        </w:rPr>
        <w:t xml:space="preserve">Where </w:t>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t</m:t>
            </m:r>
          </m:sub>
        </m:sSub>
      </m:oMath>
      <w:r w:rsidDel="00000000" w:rsidR="00000000" w:rsidRPr="00000000">
        <w:rPr>
          <w:i w:val="1"/>
          <w:iCs w:val="1"/>
          <w:sz w:val="28"/>
          <w:szCs w:val="28"/>
          <w:rtl w:val="0"/>
        </w:rPr>
        <w:t xml:space="preserve"> is the closing price on day t and </w:t>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P</m:t>
            </m:r>
          </m:e>
          <m:sub>
            <m:r>
              <w:rPr>
                <w:rFonts w:ascii="Cambria Math" w:cs="Cambria Math" w:eastAsia="Cambria Math" w:hAnsi="Cambria Math"/>
                <w:sz w:val="28"/>
                <w:szCs w:val="28"/>
              </w:rPr>
              <m:t xml:space="preserve">t-1</m:t>
            </m:r>
          </m:sub>
        </m:sSub>
      </m:oMath>
      <w:r w:rsidDel="00000000" w:rsidR="00000000" w:rsidRPr="00000000">
        <w:rPr>
          <w:i w:val="1"/>
          <w:iCs w:val="1"/>
          <w:sz w:val="28"/>
          <w:szCs w:val="28"/>
          <w:rtl w:val="0"/>
        </w:rPr>
        <w:t xml:space="preserve"> is the closing price on the previous trading day.</w:t>
        <w:br w:type="textWrapping"/>
        <w:br w:type="textWrapping"/>
        <w:br w:type="textWrapping"/>
        <w:t xml:space="preserve">The </w:t>
      </w:r>
      <w:r w:rsidDel="00000000" w:rsidR="00000000" w:rsidRPr="00000000">
        <w:rPr>
          <w:i w:val="1"/>
          <w:iCs w:val="1"/>
          <w:color w:val="374151"/>
          <w:sz w:val="28"/>
          <w:szCs w:val="28"/>
          <w:highlight w:val="white"/>
          <w:rtl w:val="0"/>
        </w:rPr>
        <w:t xml:space="preserve">sensitivity of returns of a stock relative to the index (</w:t>
      </w:r>
      <w:r w:rsidDel="00000000" w:rsidR="00000000" w:rsidRPr="00000000">
        <w:rPr>
          <w:i w:val="1"/>
          <w:iCs w:val="1"/>
          <w:sz w:val="28"/>
          <w:szCs w:val="28"/>
          <w:rtl w:val="0"/>
        </w:rPr>
        <w:t xml:space="preserve">β)</w:t>
      </w:r>
      <w:r w:rsidDel="00000000" w:rsidR="00000000" w:rsidRPr="00000000">
        <w:rPr>
          <w:i w:val="1"/>
          <w:iCs w:val="1"/>
          <w:color w:val="374151"/>
          <w:sz w:val="28"/>
          <w:szCs w:val="28"/>
          <w:highlight w:val="white"/>
          <w:rtl w:val="0"/>
        </w:rPr>
        <w:t xml:space="preserve"> was calculated using;</w:t>
      </w:r>
      <w:r w:rsidDel="00000000" w:rsidR="00000000" w:rsidRPr="00000000">
        <w:rPr>
          <w:i w:val="1"/>
          <w:iCs w:val="1"/>
          <w:sz w:val="28"/>
          <w:szCs w:val="28"/>
          <w:rtl w:val="0"/>
        </w:rPr>
        <w:br w:type="textWrapping"/>
        <w:br w:type="textWrapping"/>
      </w:r>
      <m:oMath>
        <m:sSub>
          <m:sSubPr>
            <m:ctrlPr>
              <w:rPr>
                <w:rFonts w:ascii="Cambria Math" w:cs="Cambria Math" w:eastAsia="Cambria Math" w:hAnsi="Cambria Math"/>
                <w:sz w:val="28"/>
                <w:szCs w:val="28"/>
              </w:rPr>
            </m:ctrlPr>
          </m:sSubPr>
          <m:e>
            <m:r>
              <m:t>β</m:t>
            </m:r>
          </m:e>
          <m:sub>
            <m:r>
              <w:rPr>
                <w:rFonts w:ascii="Cambria Math" w:cs="Cambria Math" w:eastAsia="Cambria Math" w:hAnsi="Cambria Math"/>
                <w:sz w:val="28"/>
                <w:szCs w:val="28"/>
              </w:rPr>
              <m:t xml:space="preserve">i</m:t>
            </m:r>
          </m:sub>
        </m:sSub>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Cov</m:t>
            </m:r>
            <m:d>
              <m:dPr>
                <m:begChr m:val="("/>
                <m:endChr m:val=")"/>
                <m:ctrlPr>
                  <w:rPr>
                    <w:rFonts w:ascii="Cambria Math" w:cs="Cambria Math" w:eastAsia="Cambria Math" w:hAnsi="Cambria Math"/>
                    <w:sz w:val="28"/>
                    <w:szCs w:val="28"/>
                  </w:rPr>
                </m:ctrlPr>
              </m:d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R</m:t>
                    </m:r>
                  </m:e>
                  <m:sub>
                    <m:r>
                      <w:rPr>
                        <w:rFonts w:ascii="Cambria Math" w:cs="Cambria Math" w:eastAsia="Cambria Math" w:hAnsi="Cambria Math"/>
                        <w:sz w:val="28"/>
                        <w:szCs w:val="28"/>
                      </w:rPr>
                      <m:t xml:space="preserve">i</m:t>
                    </m:r>
                  </m:sub>
                </m:sSub>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R</m:t>
                    </m:r>
                  </m:e>
                  <m:sub>
                    <m:r>
                      <w:rPr>
                        <w:rFonts w:ascii="Cambria Math" w:cs="Cambria Math" w:eastAsia="Cambria Math" w:hAnsi="Cambria Math"/>
                        <w:sz w:val="28"/>
                        <w:szCs w:val="28"/>
                      </w:rPr>
                      <m:t xml:space="preserve">m</m:t>
                    </m:r>
                  </m:sub>
                </m:sSub>
              </m:e>
            </m:d>
          </m:num>
          <m:den>
            <m:r>
              <w:rPr>
                <w:rFonts w:ascii="Cambria Math" w:cs="Cambria Math" w:eastAsia="Cambria Math" w:hAnsi="Cambria Math"/>
                <w:sz w:val="28"/>
                <w:szCs w:val="28"/>
              </w:rPr>
              <m:t xml:space="preserve">Var</m:t>
            </m:r>
            <m:d>
              <m:dPr>
                <m:begChr m:val="("/>
                <m:endChr m:val=")"/>
                <m:ctrlPr>
                  <w:rPr>
                    <w:rFonts w:ascii="Cambria Math" w:cs="Cambria Math" w:eastAsia="Cambria Math" w:hAnsi="Cambria Math"/>
                    <w:sz w:val="28"/>
                    <w:szCs w:val="28"/>
                  </w:rPr>
                </m:ctrlPr>
              </m:d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R</m:t>
                    </m:r>
                  </m:e>
                  <m:sub>
                    <m:r>
                      <w:rPr>
                        <w:rFonts w:ascii="Cambria Math" w:cs="Cambria Math" w:eastAsia="Cambria Math" w:hAnsi="Cambria Math"/>
                        <w:sz w:val="28"/>
                        <w:szCs w:val="28"/>
                      </w:rPr>
                      <m:t xml:space="preserve">m</m:t>
                    </m:r>
                  </m:sub>
                </m:sSub>
              </m:e>
            </m:d>
          </m:den>
        </m:f>
      </m:oMath>
      <w:r w:rsidDel="00000000" w:rsidR="00000000" w:rsidRPr="00000000">
        <w:rPr>
          <w:rtl w:val="0"/>
        </w:rPr>
      </w:r>
    </w:p>
    <w:p w:rsidR="00000000" w:rsidDel="00000000" w:rsidP="00000000" w:rsidRDefault="00000000" w:rsidRPr="00000000" w14:paraId="00000025">
      <w:pPr>
        <w:jc w:val="center"/>
        <w:rPr>
          <w:rFonts w:ascii="Cambria Math" w:cs="Cambria Math" w:eastAsia="Cambria Math" w:hAnsi="Cambria Math"/>
          <w:sz w:val="32"/>
          <w:szCs w:val="32"/>
        </w:rPr>
      </w:pPr>
      <m:oMath>
        <m:r>
          <w:rPr>
            <w:rFonts w:ascii="Cambria Math" w:cs="Cambria Math" w:eastAsia="Cambria Math" w:hAnsi="Cambria Math"/>
            <w:sz w:val="28"/>
            <w:szCs w:val="28"/>
          </w:rPr>
          <m:t xml:space="preserve">Cov</m:t>
        </m:r>
        <m:d>
          <m:dPr>
            <m:begChr m:val="("/>
            <m:endChr m:val=")"/>
            <m:ctrlPr>
              <w:rPr>
                <w:rFonts w:ascii="Cambria Math" w:cs="Cambria Math" w:eastAsia="Cambria Math" w:hAnsi="Cambria Math"/>
                <w:sz w:val="28"/>
                <w:szCs w:val="28"/>
              </w:rPr>
            </m:ctrlPr>
          </m:d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R</m:t>
                </m:r>
              </m:e>
              <m:sub>
                <m:r>
                  <w:rPr>
                    <w:rFonts w:ascii="Cambria Math" w:cs="Cambria Math" w:eastAsia="Cambria Math" w:hAnsi="Cambria Math"/>
                    <w:sz w:val="28"/>
                    <w:szCs w:val="28"/>
                  </w:rPr>
                  <m:t xml:space="preserve">i</m:t>
                </m:r>
              </m:sub>
            </m:sSub>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R</m:t>
                </m:r>
              </m:e>
              <m:sub>
                <m:r>
                  <w:rPr>
                    <w:rFonts w:ascii="Cambria Math" w:cs="Cambria Math" w:eastAsia="Cambria Math" w:hAnsi="Cambria Math"/>
                    <w:sz w:val="28"/>
                    <w:szCs w:val="28"/>
                  </w:rPr>
                  <m:t xml:space="preserve">m</m:t>
                </m:r>
              </m:sub>
            </m:sSub>
          </m:e>
        </m:d>
      </m:oMath>
      <w:r w:rsidDel="00000000" w:rsidR="00000000" w:rsidRPr="00000000">
        <w:rPr>
          <w:i w:val="1"/>
          <w:iCs w:val="1"/>
          <w:sz w:val="28"/>
          <w:szCs w:val="28"/>
          <w:rtl w:val="0"/>
        </w:rPr>
        <w:t xml:space="preserve"> is the covariance between the return of stock i and the market return, </w:t>
      </w:r>
      <m:oMath>
        <m:r>
          <w:rPr>
            <w:rFonts w:ascii="Cambria Math" w:cs="Cambria Math" w:eastAsia="Cambria Math" w:hAnsi="Cambria Math"/>
            <w:sz w:val="28"/>
            <w:szCs w:val="28"/>
          </w:rPr>
          <m:t xml:space="preserve">Var</m:t>
        </m:r>
        <m:d>
          <m:dPr>
            <m:begChr m:val="("/>
            <m:endChr m:val=")"/>
            <m:ctrlPr>
              <w:rPr>
                <w:rFonts w:ascii="Cambria Math" w:cs="Cambria Math" w:eastAsia="Cambria Math" w:hAnsi="Cambria Math"/>
                <w:sz w:val="28"/>
                <w:szCs w:val="28"/>
              </w:rPr>
            </m:ctrlPr>
          </m:d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R</m:t>
                </m:r>
              </m:e>
              <m:sub>
                <m:r>
                  <w:rPr>
                    <w:rFonts w:ascii="Cambria Math" w:cs="Cambria Math" w:eastAsia="Cambria Math" w:hAnsi="Cambria Math"/>
                    <w:sz w:val="28"/>
                    <w:szCs w:val="28"/>
                  </w:rPr>
                  <m:t xml:space="preserve">m</m:t>
                </m:r>
              </m:sub>
            </m:sSub>
          </m:e>
        </m:d>
      </m:oMath>
      <w:r w:rsidDel="00000000" w:rsidR="00000000" w:rsidRPr="00000000">
        <w:rPr>
          <w:i w:val="1"/>
          <w:iCs w:val="1"/>
          <w:sz w:val="28"/>
          <w:szCs w:val="28"/>
          <w:rtl w:val="0"/>
        </w:rPr>
        <w:t xml:space="preserve"> is the variance of the market return, </w:t>
      </w:r>
      <m:oMath>
        <m:d>
          <m:dPr>
            <m:begChr m:val="("/>
            <m:endChr m:val=")"/>
          </m:d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R</m:t>
                </m:r>
              </m:e>
              <m:sub>
                <m:r>
                  <w:rPr>
                    <w:rFonts w:ascii="Cambria Math" w:cs="Cambria Math" w:eastAsia="Cambria Math" w:hAnsi="Cambria Math"/>
                    <w:sz w:val="28"/>
                    <w:szCs w:val="28"/>
                  </w:rPr>
                  <m:t xml:space="preserve">i</m:t>
                </m:r>
              </m:sub>
            </m:sSub>
          </m:e>
        </m:d>
      </m:oMath>
      <w:r w:rsidDel="00000000" w:rsidR="00000000" w:rsidRPr="00000000">
        <w:rPr>
          <w:i w:val="1"/>
          <w:iCs w:val="1"/>
          <w:sz w:val="28"/>
          <w:szCs w:val="28"/>
          <w:rtl w:val="0"/>
        </w:rPr>
        <w:t xml:space="preserve">is the return of stock i, and </w:t>
      </w:r>
      <m:oMath>
        <m:d>
          <m:dPr>
            <m:begChr m:val="("/>
            <m:endChr m:val=")"/>
          </m:d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R</m:t>
                </m:r>
              </m:e>
              <m:sub>
                <m:r>
                  <w:rPr>
                    <w:rFonts w:ascii="Cambria Math" w:cs="Cambria Math" w:eastAsia="Cambria Math" w:hAnsi="Cambria Math"/>
                    <w:sz w:val="28"/>
                    <w:szCs w:val="28"/>
                  </w:rPr>
                  <m:t xml:space="preserve">m</m:t>
                </m:r>
              </m:sub>
            </m:sSub>
          </m:e>
        </m:d>
        <m:r>
          <w:rPr>
            <w:rFonts w:ascii="Cambria Math" w:cs="Cambria Math" w:eastAsia="Cambria Math" w:hAnsi="Cambria Math"/>
            <w:sz w:val="28"/>
            <w:szCs w:val="28"/>
          </w:rPr>
          <m:t xml:space="preserve"> </m:t>
        </m:r>
      </m:oMath>
      <w:r w:rsidDel="00000000" w:rsidR="00000000" w:rsidRPr="00000000">
        <w:rPr>
          <w:i w:val="1"/>
          <w:iCs w:val="1"/>
          <w:sz w:val="28"/>
          <w:szCs w:val="28"/>
          <w:rtl w:val="0"/>
        </w:rPr>
        <w:t xml:space="preserve">is the return of the market.</w:t>
        <w:br w:type="textWrapping"/>
        <w:br w:type="textWrapping"/>
        <w:t xml:space="preserve">The average return of the stock that is not explained by market movement(</w:t>
      </w:r>
      <m:oMath>
        <m:sSub>
          <m:sSubPr>
            <m:ctrlPr>
              <w:rPr>
                <w:rFonts w:ascii="Cambria Math" w:cs="Cambria Math" w:eastAsia="Cambria Math" w:hAnsi="Cambria Math"/>
              </w:rPr>
            </m:ctrlPr>
          </m:sSubPr>
          <m:e>
            <m:r>
              <m:t>α</m:t>
            </m:r>
          </m:e>
          <m:sub>
            <m:r>
              <w:rPr>
                <w:rFonts w:ascii="Cambria Math" w:cs="Cambria Math" w:eastAsia="Cambria Math" w:hAnsi="Cambria Math"/>
              </w:rPr>
              <m:t xml:space="preserve">i</m:t>
            </m:r>
          </m:sub>
        </m:sSub>
        <m:r>
          <w:rPr>
            <w:rFonts w:ascii="Cambria Math" w:cs="Cambria Math" w:eastAsia="Cambria Math" w:hAnsi="Cambria Math"/>
          </w:rPr>
          <m:t xml:space="preserve">)</m:t>
        </m:r>
      </m:oMath>
      <w:r w:rsidDel="00000000" w:rsidR="00000000" w:rsidRPr="00000000">
        <w:rPr>
          <w:i w:val="1"/>
          <w:iCs w:val="1"/>
          <w:sz w:val="28"/>
          <w:szCs w:val="28"/>
          <w:rtl w:val="0"/>
        </w:rPr>
        <w:t xml:space="preserve"> was calculated by</w:t>
        <w:br w:type="textWrapping"/>
        <w:br w:type="textWrapping"/>
      </w:r>
      <m:oMath>
        <m:sSub>
          <m:sSubPr>
            <m:ctrlPr>
              <w:rPr>
                <w:rFonts w:ascii="Cambria Math" w:cs="Cambria Math" w:eastAsia="Cambria Math" w:hAnsi="Cambria Math"/>
                <w:sz w:val="32"/>
                <w:szCs w:val="32"/>
              </w:rPr>
            </m:ctrlPr>
          </m:sSubPr>
          <m:e>
            <m:r>
              <m:t>α</m:t>
            </m:r>
          </m:e>
          <m:sub>
            <m:r>
              <w:rPr>
                <w:rFonts w:ascii="Cambria Math" w:cs="Cambria Math" w:eastAsia="Cambria Math" w:hAnsi="Cambria Math"/>
                <w:sz w:val="32"/>
                <w:szCs w:val="32"/>
              </w:rPr>
              <m:t xml:space="preserve">i</m:t>
            </m:r>
          </m:sub>
        </m:sSub>
        <m:r>
          <w:rPr>
            <w:rFonts w:ascii="Cambria Math" w:cs="Cambria Math" w:eastAsia="Cambria Math" w:hAnsi="Cambria Math"/>
            <w:sz w:val="32"/>
            <w:szCs w:val="32"/>
          </w:rPr>
          <m:t xml:space="preserve">= </m:t>
        </m:r>
        <m:sSub>
          <m:sSubPr>
            <m:ctrlPr>
              <w:rPr>
                <w:rFonts w:ascii="Cambria Math" w:cs="Cambria Math" w:eastAsia="Cambria Math" w:hAnsi="Cambria Math"/>
                <w:sz w:val="32"/>
                <w:szCs w:val="32"/>
              </w:rPr>
            </m:ctrlPr>
          </m:sSubPr>
          <m:e>
            <m:acc>
              <m:accPr>
                <m:chr m:val="̄"/>
                <m:ctrlPr>
                  <w:rPr>
                    <w:rFonts w:ascii="Cambria Math" w:cs="Cambria Math" w:eastAsia="Cambria Math" w:hAnsi="Cambria Math"/>
                    <w:sz w:val="32"/>
                    <w:szCs w:val="32"/>
                  </w:rPr>
                </m:ctrlPr>
              </m:accPr>
              <m:e>
                <m:r>
                  <w:rPr>
                    <w:rFonts w:ascii="Cambria Math" w:cs="Cambria Math" w:eastAsia="Cambria Math" w:hAnsi="Cambria Math"/>
                    <w:sz w:val="32"/>
                    <w:szCs w:val="32"/>
                  </w:rPr>
                  <m:t xml:space="preserve">R</m:t>
                </m:r>
              </m:e>
            </m:acc>
          </m:e>
          <m:sub>
            <m:r>
              <w:rPr>
                <w:rFonts w:ascii="Cambria Math" w:cs="Cambria Math" w:eastAsia="Cambria Math" w:hAnsi="Cambria Math"/>
                <w:sz w:val="32"/>
                <w:szCs w:val="32"/>
              </w:rPr>
              <m:t xml:space="preserve">i</m:t>
            </m:r>
          </m:sub>
        </m:sSub>
        <m:r>
          <w:rPr>
            <w:rFonts w:ascii="Cambria Math" w:cs="Cambria Math" w:eastAsia="Cambria Math" w:hAnsi="Cambria Math"/>
            <w:sz w:val="32"/>
            <w:szCs w:val="32"/>
          </w:rPr>
          <m:t xml:space="preserve">- </m:t>
        </m:r>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β</m:t>
            </m:r>
          </m:e>
          <m:sub>
            <m:r>
              <w:rPr>
                <w:rFonts w:ascii="Cambria Math" w:cs="Cambria Math" w:eastAsia="Cambria Math" w:hAnsi="Cambria Math"/>
                <w:sz w:val="32"/>
                <w:szCs w:val="32"/>
              </w:rPr>
              <m:t xml:space="preserve">i</m:t>
            </m:r>
          </m:sub>
        </m:sSub>
        <m:r>
          <w:rPr>
            <w:rFonts w:ascii="Cambria Math" w:cs="Cambria Math" w:eastAsia="Cambria Math" w:hAnsi="Cambria Math"/>
            <w:sz w:val="32"/>
            <w:szCs w:val="32"/>
          </w:rPr>
          <m:t xml:space="preserve">· </m:t>
        </m:r>
        <m:sSub>
          <m:sSubPr>
            <m:ctrlPr>
              <w:rPr>
                <w:rFonts w:ascii="Cambria Math" w:cs="Cambria Math" w:eastAsia="Cambria Math" w:hAnsi="Cambria Math"/>
                <w:sz w:val="32"/>
                <w:szCs w:val="32"/>
              </w:rPr>
            </m:ctrlPr>
          </m:sSubPr>
          <m:e>
            <m:acc>
              <m:accPr>
                <m:chr m:val="̄"/>
                <m:ctrlPr>
                  <w:rPr>
                    <w:rFonts w:ascii="Cambria Math" w:cs="Cambria Math" w:eastAsia="Cambria Math" w:hAnsi="Cambria Math"/>
                    <w:sz w:val="32"/>
                    <w:szCs w:val="32"/>
                  </w:rPr>
                </m:ctrlPr>
              </m:accPr>
              <m:e>
                <m:r>
                  <w:rPr>
                    <w:rFonts w:ascii="Cambria Math" w:cs="Cambria Math" w:eastAsia="Cambria Math" w:hAnsi="Cambria Math"/>
                    <w:sz w:val="32"/>
                    <w:szCs w:val="32"/>
                  </w:rPr>
                  <m:t xml:space="preserve">R</m:t>
                </m:r>
              </m:e>
            </m:acc>
          </m:e>
          <m:sub>
            <m:r>
              <w:rPr>
                <w:rFonts w:ascii="Cambria Math" w:cs="Cambria Math" w:eastAsia="Cambria Math" w:hAnsi="Cambria Math"/>
                <w:sz w:val="32"/>
                <w:szCs w:val="32"/>
              </w:rPr>
              <m:t xml:space="preserve">m</m:t>
            </m:r>
          </m:sub>
        </m:sSub>
      </m:oMath>
      <w:r w:rsidDel="00000000" w:rsidR="00000000" w:rsidRPr="00000000">
        <w:rPr>
          <w:rtl w:val="0"/>
        </w:rPr>
      </w:r>
    </w:p>
    <w:p w:rsidR="00000000" w:rsidDel="00000000" w:rsidP="00000000" w:rsidRDefault="00000000" w:rsidRPr="00000000" w14:paraId="00000026">
      <w:pPr>
        <w:rPr>
          <w:i w:val="1"/>
          <w:iCs w:val="1"/>
          <w:sz w:val="28"/>
          <w:szCs w:val="28"/>
        </w:rPr>
      </w:pPr>
      <w:r w:rsidDel="00000000" w:rsidR="00000000" w:rsidRPr="00000000">
        <w:rPr>
          <w:i w:val="1"/>
          <w:iCs w:val="1"/>
          <w:sz w:val="28"/>
          <w:szCs w:val="28"/>
          <w:rtl w:val="0"/>
        </w:rPr>
        <w:t xml:space="preserve">Where </w:t>
      </w:r>
      <m:oMath>
        <m:sSub>
          <m:sSubPr>
            <m:ctrlPr>
              <w:rPr>
                <w:rFonts w:ascii="Cambria Math" w:cs="Cambria Math" w:eastAsia="Cambria Math" w:hAnsi="Cambria Math"/>
                <w:sz w:val="28"/>
                <w:szCs w:val="28"/>
              </w:rPr>
            </m:ctrlPr>
          </m:sSubPr>
          <m:e>
            <m:acc>
              <m:accPr>
                <m:chr m:val="̄"/>
                <m:ctrlPr>
                  <w:rPr>
                    <w:rFonts w:ascii="Cambria Math" w:cs="Cambria Math" w:eastAsia="Cambria Math" w:hAnsi="Cambria Math"/>
                    <w:sz w:val="28"/>
                    <w:szCs w:val="28"/>
                  </w:rPr>
                </m:ctrlPr>
              </m:accPr>
              <m:e>
                <m:r>
                  <w:rPr>
                    <w:rFonts w:ascii="Cambria Math" w:cs="Cambria Math" w:eastAsia="Cambria Math" w:hAnsi="Cambria Math"/>
                    <w:sz w:val="28"/>
                    <w:szCs w:val="28"/>
                  </w:rPr>
                  <m:t xml:space="preserve">R</m:t>
                </m:r>
              </m:e>
            </m:acc>
          </m:e>
          <m:sub>
            <m:r>
              <w:rPr>
                <w:rFonts w:ascii="Cambria Math" w:cs="Cambria Math" w:eastAsia="Cambria Math" w:hAnsi="Cambria Math"/>
                <w:sz w:val="28"/>
                <w:szCs w:val="28"/>
              </w:rPr>
              <m:t xml:space="preserve">i</m:t>
            </m:r>
          </m:sub>
        </m:sSub>
      </m:oMath>
      <w:r w:rsidDel="00000000" w:rsidR="00000000" w:rsidRPr="00000000">
        <w:rPr>
          <w:i w:val="1"/>
          <w:iCs w:val="1"/>
          <w:sz w:val="28"/>
          <w:szCs w:val="28"/>
          <w:rtl w:val="0"/>
        </w:rPr>
        <w:t xml:space="preserve">is the mean return of stock i during the estimation window, </w:t>
      </w:r>
      <m:oMath>
        <m:sSub>
          <m:sSubPr>
            <m:ctrlPr>
              <w:rPr>
                <w:rFonts w:ascii="Cambria Math" w:cs="Cambria Math" w:eastAsia="Cambria Math" w:hAnsi="Cambria Math"/>
                <w:sz w:val="28"/>
                <w:szCs w:val="28"/>
              </w:rPr>
            </m:ctrlPr>
          </m:sSubPr>
          <m:e>
            <m:r>
              <m:t>β</m:t>
            </m:r>
          </m:e>
          <m:sub>
            <m:r>
              <w:rPr>
                <w:rFonts w:ascii="Cambria Math" w:cs="Cambria Math" w:eastAsia="Cambria Math" w:hAnsi="Cambria Math"/>
                <w:sz w:val="28"/>
                <w:szCs w:val="28"/>
              </w:rPr>
              <m:t xml:space="preserve">i</m:t>
            </m:r>
          </m:sub>
        </m:sSub>
      </m:oMath>
      <w:r w:rsidDel="00000000" w:rsidR="00000000" w:rsidRPr="00000000">
        <w:rPr>
          <w:i w:val="1"/>
          <w:iCs w:val="1"/>
          <w:sz w:val="28"/>
          <w:szCs w:val="28"/>
          <w:rtl w:val="0"/>
        </w:rPr>
        <w:t xml:space="preserve"> is the beta of stock i, and </w:t>
      </w:r>
      <m:oMath>
        <m:sSub>
          <m:sSubPr>
            <m:ctrlPr>
              <w:rPr>
                <w:rFonts w:ascii="Cambria Math" w:cs="Cambria Math" w:eastAsia="Cambria Math" w:hAnsi="Cambria Math"/>
                <w:sz w:val="28"/>
                <w:szCs w:val="28"/>
              </w:rPr>
            </m:ctrlPr>
          </m:sSubPr>
          <m:e>
            <m:acc>
              <m:accPr>
                <m:chr m:val="̄"/>
                <m:ctrlPr>
                  <w:rPr>
                    <w:rFonts w:ascii="Cambria Math" w:cs="Cambria Math" w:eastAsia="Cambria Math" w:hAnsi="Cambria Math"/>
                    <w:sz w:val="28"/>
                    <w:szCs w:val="28"/>
                  </w:rPr>
                </m:ctrlPr>
              </m:accPr>
              <m:e>
                <m:r>
                  <w:rPr>
                    <w:rFonts w:ascii="Cambria Math" w:cs="Cambria Math" w:eastAsia="Cambria Math" w:hAnsi="Cambria Math"/>
                    <w:sz w:val="28"/>
                    <w:szCs w:val="28"/>
                  </w:rPr>
                  <m:t xml:space="preserve">R</m:t>
                </m:r>
              </m:e>
            </m:acc>
          </m:e>
          <m:sub>
            <m:r>
              <w:rPr>
                <w:rFonts w:ascii="Cambria Math" w:cs="Cambria Math" w:eastAsia="Cambria Math" w:hAnsi="Cambria Math"/>
                <w:sz w:val="28"/>
                <w:szCs w:val="28"/>
              </w:rPr>
              <m:t xml:space="preserve">m</m:t>
            </m:r>
          </m:sub>
        </m:sSub>
      </m:oMath>
      <w:r w:rsidDel="00000000" w:rsidR="00000000" w:rsidRPr="00000000">
        <w:rPr>
          <w:i w:val="1"/>
          <w:iCs w:val="1"/>
          <w:sz w:val="28"/>
          <w:szCs w:val="28"/>
          <w:rtl w:val="0"/>
        </w:rPr>
        <w:t xml:space="preserve">is the mean market return during the estimation window.</w:t>
      </w:r>
    </w:p>
    <w:p w:rsidR="00000000" w:rsidDel="00000000" w:rsidP="00000000" w:rsidRDefault="00000000" w:rsidRPr="00000000" w14:paraId="00000027">
      <w:pPr>
        <w:jc w:val="center"/>
        <w:rPr>
          <w:rFonts w:ascii="Cambria Math" w:cs="Cambria Math" w:eastAsia="Cambria Math" w:hAnsi="Cambria Math"/>
          <w:sz w:val="32"/>
          <w:szCs w:val="32"/>
        </w:rPr>
      </w:pPr>
      <w:r w:rsidDel="00000000" w:rsidR="00000000" w:rsidRPr="00000000">
        <w:rPr>
          <w:i w:val="1"/>
          <w:iCs w:val="1"/>
          <w:sz w:val="28"/>
          <w:szCs w:val="28"/>
          <w:rtl w:val="0"/>
        </w:rPr>
        <w:br w:type="textWrapping"/>
        <w:br w:type="textWrapping"/>
        <w:t xml:space="preserve">The expected daily return for each stock prior to the political announcement was calculated using the market model from 120 to 11 days prior to the announcement;</w:t>
        <w:br w:type="textWrapping"/>
        <w:br w:type="textWrapping"/>
      </w:r>
      <m:oMath>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 xml:space="preserve">R</m:t>
            </m:r>
          </m:e>
          <m:sub>
            <m:r>
              <w:rPr>
                <w:rFonts w:ascii="Cambria Math" w:cs="Cambria Math" w:eastAsia="Cambria Math" w:hAnsi="Cambria Math"/>
                <w:sz w:val="32"/>
                <w:szCs w:val="32"/>
              </w:rPr>
              <m:t xml:space="preserve">i,t</m:t>
            </m:r>
          </m:sub>
        </m:sSub>
        <m:r>
          <w:rPr>
            <w:rFonts w:ascii="Cambria Math" w:cs="Cambria Math" w:eastAsia="Cambria Math" w:hAnsi="Cambria Math"/>
            <w:sz w:val="32"/>
            <w:szCs w:val="32"/>
          </w:rPr>
          <m:t xml:space="preserve">=</m:t>
        </m:r>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α</m:t>
            </m:r>
          </m:e>
          <m:sub>
            <m:r>
              <w:rPr>
                <w:rFonts w:ascii="Cambria Math" w:cs="Cambria Math" w:eastAsia="Cambria Math" w:hAnsi="Cambria Math"/>
                <w:sz w:val="32"/>
                <w:szCs w:val="32"/>
              </w:rPr>
              <m:t xml:space="preserve">i</m:t>
            </m:r>
          </m:sub>
        </m:sSub>
        <m:r>
          <w:rPr>
            <w:rFonts w:ascii="Cambria Math" w:cs="Cambria Math" w:eastAsia="Cambria Math" w:hAnsi="Cambria Math"/>
            <w:sz w:val="32"/>
            <w:szCs w:val="32"/>
          </w:rPr>
          <m:t xml:space="preserve">+</m:t>
        </m:r>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β</m:t>
            </m:r>
          </m:e>
          <m:sub>
            <m:r>
              <w:rPr>
                <w:rFonts w:ascii="Cambria Math" w:cs="Cambria Math" w:eastAsia="Cambria Math" w:hAnsi="Cambria Math"/>
                <w:sz w:val="32"/>
                <w:szCs w:val="32"/>
              </w:rPr>
              <m:t xml:space="preserve">i</m:t>
            </m:r>
          </m:sub>
        </m:sSub>
        <m:r>
          <w:rPr>
            <w:rFonts w:ascii="Cambria Math" w:cs="Cambria Math" w:eastAsia="Cambria Math" w:hAnsi="Cambria Math"/>
            <w:sz w:val="32"/>
            <w:szCs w:val="32"/>
          </w:rPr>
          <m:t>⋅</m:t>
        </m:r>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 xml:space="preserve">R</m:t>
            </m:r>
          </m:e>
          <m:sub>
            <m:r>
              <w:rPr>
                <w:rFonts w:ascii="Cambria Math" w:cs="Cambria Math" w:eastAsia="Cambria Math" w:hAnsi="Cambria Math"/>
                <w:sz w:val="32"/>
                <w:szCs w:val="32"/>
              </w:rPr>
              <m:t xml:space="preserve">m,t</m:t>
            </m:r>
          </m:sub>
        </m:sSub>
        <m:r>
          <w:rPr>
            <w:rFonts w:ascii="Cambria Math" w:cs="Cambria Math" w:eastAsia="Cambria Math" w:hAnsi="Cambria Math"/>
            <w:sz w:val="32"/>
            <w:szCs w:val="32"/>
          </w:rPr>
          <m:t xml:space="preserve">+</m:t>
        </m:r>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ϵ</m:t>
            </m:r>
          </m:e>
          <m:sub>
            <m:r>
              <w:rPr>
                <w:rFonts w:ascii="Cambria Math" w:cs="Cambria Math" w:eastAsia="Cambria Math" w:hAnsi="Cambria Math"/>
                <w:sz w:val="32"/>
                <w:szCs w:val="32"/>
              </w:rPr>
              <m:t xml:space="preserve">i,t</m:t>
            </m:r>
          </m:sub>
        </m:sSub>
      </m:oMath>
      <w:r w:rsidDel="00000000" w:rsidR="00000000" w:rsidRPr="00000000">
        <w:rPr>
          <w:rtl w:val="0"/>
        </w:rPr>
      </w:r>
    </w:p>
    <w:p w:rsidR="00000000" w:rsidDel="00000000" w:rsidP="00000000" w:rsidRDefault="00000000" w:rsidRPr="00000000" w14:paraId="00000028">
      <w:pPr>
        <w:jc w:val="center"/>
        <w:rPr>
          <w:rFonts w:ascii="Cambria Math" w:cs="Cambria Math" w:eastAsia="Cambria Math" w:hAnsi="Cambria Math"/>
          <w:sz w:val="32"/>
          <w:szCs w:val="32"/>
        </w:rPr>
      </w:pPr>
      <w:r w:rsidDel="00000000" w:rsidR="00000000" w:rsidRPr="00000000">
        <w:rPr>
          <w:i w:val="1"/>
          <w:iCs w:val="1"/>
          <w:sz w:val="28"/>
          <w:szCs w:val="28"/>
          <w:rtl w:val="0"/>
        </w:rPr>
        <w:t xml:space="preserve"> </w:t>
        <w:br w:type="textWrapping"/>
      </w:r>
      <m:oMath>
        <m:sSub>
          <m:sSubPr>
            <m:ctrlPr>
              <w:rPr>
                <w:rFonts w:ascii="Cambria Math" w:cs="Cambria Math" w:eastAsia="Cambria Math" w:hAnsi="Cambria Math"/>
                <w:sz w:val="28"/>
                <w:szCs w:val="28"/>
              </w:rPr>
            </m:ctrlPr>
          </m:sSubPr>
          <m:e>
            <m:r>
              <m:t>α</m:t>
            </m:r>
          </m:e>
          <m:sub>
            <m:r>
              <w:rPr>
                <w:rFonts w:ascii="Cambria Math" w:cs="Cambria Math" w:eastAsia="Cambria Math" w:hAnsi="Cambria Math"/>
                <w:sz w:val="28"/>
                <w:szCs w:val="28"/>
              </w:rPr>
              <m:t xml:space="preserve">i</m:t>
            </m:r>
          </m:sub>
        </m:sSub>
      </m:oMath>
      <w:r w:rsidDel="00000000" w:rsidR="00000000" w:rsidRPr="00000000">
        <w:rPr>
          <w:i w:val="1"/>
          <w:iCs w:val="1"/>
          <w:sz w:val="28"/>
          <w:szCs w:val="28"/>
          <w:rtl w:val="0"/>
        </w:rPr>
        <w:t xml:space="preserve"> is the alpha of stock i representing return independent of market movements, </w:t>
      </w:r>
      <m:oMath>
        <m:sSub>
          <m:sSubPr>
            <m:ctrlPr>
              <w:rPr>
                <w:rFonts w:ascii="Cambria Math" w:cs="Cambria Math" w:eastAsia="Cambria Math" w:hAnsi="Cambria Math"/>
                <w:sz w:val="28"/>
                <w:szCs w:val="28"/>
              </w:rPr>
            </m:ctrlPr>
          </m:sSubPr>
          <m:e>
            <m:r>
              <m:t>β</m:t>
            </m:r>
          </m:e>
          <m:sub>
            <m:r>
              <w:rPr>
                <w:rFonts w:ascii="Cambria Math" w:cs="Cambria Math" w:eastAsia="Cambria Math" w:hAnsi="Cambria Math"/>
                <w:sz w:val="28"/>
                <w:szCs w:val="28"/>
              </w:rPr>
              <m:t xml:space="preserve">i</m:t>
            </m:r>
          </m:sub>
        </m:sSub>
      </m:oMath>
      <w:r w:rsidDel="00000000" w:rsidR="00000000" w:rsidRPr="00000000">
        <w:rPr>
          <w:i w:val="1"/>
          <w:iCs w:val="1"/>
          <w:sz w:val="28"/>
          <w:szCs w:val="28"/>
          <w:rtl w:val="0"/>
        </w:rPr>
        <w:t xml:space="preserve"> is the beta of stock i, </w:t>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R</m:t>
            </m:r>
          </m:e>
          <m:sub>
            <m:r>
              <w:rPr>
                <w:rFonts w:ascii="Cambria Math" w:cs="Cambria Math" w:eastAsia="Cambria Math" w:hAnsi="Cambria Math"/>
                <w:sz w:val="28"/>
                <w:szCs w:val="28"/>
              </w:rPr>
              <m:t xml:space="preserve">m,t</m:t>
            </m:r>
          </m:sub>
        </m:sSub>
      </m:oMath>
      <w:r w:rsidDel="00000000" w:rsidR="00000000" w:rsidRPr="00000000">
        <w:rPr>
          <w:i w:val="1"/>
          <w:iCs w:val="1"/>
          <w:sz w:val="28"/>
          <w:szCs w:val="28"/>
          <w:rtl w:val="0"/>
        </w:rPr>
        <w:t xml:space="preserve"> is the market return on day t, and </w:t>
      </w:r>
      <m:oMath>
        <m:sSub>
          <m:sSubPr>
            <m:ctrlPr>
              <w:rPr>
                <w:rFonts w:ascii="Cambria Math" w:cs="Cambria Math" w:eastAsia="Cambria Math" w:hAnsi="Cambria Math"/>
                <w:sz w:val="28"/>
                <w:szCs w:val="28"/>
              </w:rPr>
            </m:ctrlPr>
          </m:sSubPr>
          <m:e>
            <m:r>
              <m:t>ϵ</m:t>
            </m:r>
          </m:e>
          <m:sub>
            <m:r>
              <w:rPr>
                <w:rFonts w:ascii="Cambria Math" w:cs="Cambria Math" w:eastAsia="Cambria Math" w:hAnsi="Cambria Math"/>
                <w:sz w:val="28"/>
                <w:szCs w:val="28"/>
              </w:rPr>
              <m:t xml:space="preserve">i,t</m:t>
            </m:r>
          </m:sub>
        </m:sSub>
      </m:oMath>
      <w:r w:rsidDel="00000000" w:rsidR="00000000" w:rsidRPr="00000000">
        <w:rPr>
          <w:i w:val="1"/>
          <w:iCs w:val="1"/>
          <w:sz w:val="28"/>
          <w:szCs w:val="28"/>
          <w:rtl w:val="0"/>
        </w:rPr>
        <w:t xml:space="preserve"> is the error term representing the portion of return unexplained by the market model.</w:t>
        <w:br w:type="textWrapping"/>
        <w:br w:type="textWrapping"/>
        <w:br w:type="textWrapping"/>
        <w:t xml:space="preserve">The abnormal daily return for each stock was calculated using;</w:t>
        <w:br w:type="textWrapping"/>
        <w:br w:type="textWrapping"/>
      </w:r>
      <m:oMath>
        <m:r>
          <w:rPr>
            <w:rFonts w:ascii="Cambria Math" w:cs="Cambria Math" w:eastAsia="Cambria Math" w:hAnsi="Cambria Math"/>
            <w:sz w:val="32"/>
            <w:szCs w:val="32"/>
          </w:rPr>
          <m:t xml:space="preserve">A</m:t>
        </m:r>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 xml:space="preserve">R</m:t>
            </m:r>
          </m:e>
          <m:sub>
            <m:r>
              <w:rPr>
                <w:rFonts w:ascii="Cambria Math" w:cs="Cambria Math" w:eastAsia="Cambria Math" w:hAnsi="Cambria Math"/>
                <w:sz w:val="32"/>
                <w:szCs w:val="32"/>
              </w:rPr>
              <m:t xml:space="preserve">i,t</m:t>
            </m:r>
          </m:sub>
        </m:sSub>
        <m:r>
          <w:rPr>
            <w:rFonts w:ascii="Cambria Math" w:cs="Cambria Math" w:eastAsia="Cambria Math" w:hAnsi="Cambria Math"/>
            <w:sz w:val="32"/>
            <w:szCs w:val="32"/>
          </w:rPr>
          <m:t xml:space="preserve">=</m:t>
        </m:r>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 xml:space="preserve">R</m:t>
            </m:r>
          </m:e>
          <m:sub>
            <m:r>
              <w:rPr>
                <w:rFonts w:ascii="Cambria Math" w:cs="Cambria Math" w:eastAsia="Cambria Math" w:hAnsi="Cambria Math"/>
                <w:sz w:val="32"/>
                <w:szCs w:val="32"/>
              </w:rPr>
              <m:t xml:space="preserve">i,t</m:t>
            </m:r>
          </m:sub>
        </m:sSub>
        <m:r>
          <w:rPr>
            <w:rFonts w:ascii="Cambria Math" w:cs="Cambria Math" w:eastAsia="Cambria Math" w:hAnsi="Cambria Math"/>
            <w:sz w:val="32"/>
            <w:szCs w:val="32"/>
          </w:rPr>
          <m:t xml:space="preserve">-</m:t>
        </m:r>
        <m:d>
          <m:dPr>
            <m:begChr m:val="("/>
            <m:endChr m:val=")"/>
            <m:ctrlPr>
              <w:rPr>
                <w:rFonts w:ascii="Cambria Math" w:cs="Cambria Math" w:eastAsia="Cambria Math" w:hAnsi="Cambria Math"/>
                <w:sz w:val="32"/>
                <w:szCs w:val="32"/>
              </w:rPr>
            </m:ctrlPr>
          </m:dPr>
          <m:e>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α</m:t>
                </m:r>
              </m:e>
              <m:sub>
                <m:r>
                  <w:rPr>
                    <w:rFonts w:ascii="Cambria Math" w:cs="Cambria Math" w:eastAsia="Cambria Math" w:hAnsi="Cambria Math"/>
                    <w:sz w:val="32"/>
                    <w:szCs w:val="32"/>
                  </w:rPr>
                  <m:t xml:space="preserve">i</m:t>
                </m:r>
              </m:sub>
            </m:sSub>
            <m:r>
              <w:rPr>
                <w:rFonts w:ascii="Cambria Math" w:cs="Cambria Math" w:eastAsia="Cambria Math" w:hAnsi="Cambria Math"/>
                <w:sz w:val="32"/>
                <w:szCs w:val="32"/>
              </w:rPr>
              <m:t xml:space="preserve">+</m:t>
            </m:r>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β</m:t>
                </m:r>
              </m:e>
              <m:sub>
                <m:r>
                  <w:rPr>
                    <w:rFonts w:ascii="Cambria Math" w:cs="Cambria Math" w:eastAsia="Cambria Math" w:hAnsi="Cambria Math"/>
                    <w:sz w:val="32"/>
                    <w:szCs w:val="32"/>
                  </w:rPr>
                  <m:t xml:space="preserve">i</m:t>
                </m:r>
              </m:sub>
            </m:sSub>
            <m:r>
              <w:rPr>
                <w:rFonts w:ascii="Cambria Math" w:cs="Cambria Math" w:eastAsia="Cambria Math" w:hAnsi="Cambria Math"/>
                <w:sz w:val="32"/>
                <w:szCs w:val="32"/>
              </w:rPr>
              <m:t>⋅</m:t>
            </m:r>
            <m:sSub>
              <m:sSubPr>
                <m:ctrlPr>
                  <w:rPr>
                    <w:rFonts w:ascii="Cambria Math" w:cs="Cambria Math" w:eastAsia="Cambria Math" w:hAnsi="Cambria Math"/>
                    <w:sz w:val="32"/>
                    <w:szCs w:val="32"/>
                  </w:rPr>
                </m:ctrlPr>
              </m:sSubPr>
              <m:e>
                <m:r>
                  <w:rPr>
                    <w:rFonts w:ascii="Cambria Math" w:cs="Cambria Math" w:eastAsia="Cambria Math" w:hAnsi="Cambria Math"/>
                    <w:sz w:val="32"/>
                    <w:szCs w:val="32"/>
                  </w:rPr>
                  <m:t xml:space="preserve">R</m:t>
                </m:r>
              </m:e>
              <m:sub>
                <m:r>
                  <w:rPr>
                    <w:rFonts w:ascii="Cambria Math" w:cs="Cambria Math" w:eastAsia="Cambria Math" w:hAnsi="Cambria Math"/>
                    <w:sz w:val="32"/>
                    <w:szCs w:val="32"/>
                  </w:rPr>
                  <m:t xml:space="preserve">m,t</m:t>
                </m:r>
              </m:sub>
            </m:sSub>
          </m:e>
        </m:d>
      </m:oMath>
      <w:r w:rsidDel="00000000" w:rsidR="00000000" w:rsidRPr="00000000">
        <w:rPr>
          <w:rtl w:val="0"/>
        </w:rPr>
      </w:r>
    </w:p>
    <w:p w:rsidR="00000000" w:rsidDel="00000000" w:rsidP="00000000" w:rsidRDefault="00000000" w:rsidRPr="00000000" w14:paraId="00000029">
      <w:pPr>
        <w:jc w:val="center"/>
        <w:rPr>
          <w:rFonts w:ascii="Cambria Math" w:cs="Cambria Math" w:eastAsia="Cambria Math" w:hAnsi="Cambria Math"/>
          <w:sz w:val="28"/>
          <w:szCs w:val="28"/>
        </w:rPr>
      </w:pPr>
      <w:r w:rsidDel="00000000" w:rsidR="00000000" w:rsidRPr="00000000">
        <w:rPr>
          <w:i w:val="1"/>
          <w:iCs w:val="1"/>
          <w:sz w:val="28"/>
          <w:szCs w:val="28"/>
          <w:rtl w:val="0"/>
        </w:rPr>
        <w:br w:type="textWrapping"/>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R</m:t>
            </m:r>
          </m:e>
          <m:sub>
            <m:r>
              <w:rPr>
                <w:rFonts w:ascii="Cambria Math" w:cs="Cambria Math" w:eastAsia="Cambria Math" w:hAnsi="Cambria Math"/>
                <w:sz w:val="28"/>
                <w:szCs w:val="28"/>
              </w:rPr>
              <m:t xml:space="preserve">i,t</m:t>
            </m:r>
          </m:sub>
        </m:sSub>
        <m:r>
          <w:rPr>
            <w:rFonts w:ascii="Cambria Math" w:cs="Cambria Math" w:eastAsia="Cambria Math" w:hAnsi="Cambria Math"/>
            <w:sz w:val="28"/>
            <w:szCs w:val="28"/>
          </w:rPr>
          <m:t xml:space="preserve"> </m:t>
        </m:r>
      </m:oMath>
      <w:r w:rsidDel="00000000" w:rsidR="00000000" w:rsidRPr="00000000">
        <w:rPr>
          <w:i w:val="1"/>
          <w:iCs w:val="1"/>
          <w:sz w:val="28"/>
          <w:szCs w:val="28"/>
          <w:rtl w:val="0"/>
        </w:rPr>
        <w:t xml:space="preserve">is the actual return of stock i on day t, </w:t>
      </w:r>
      <m:oMath>
        <m:sSub>
          <m:sSubPr>
            <m:ctrlPr>
              <w:rPr>
                <w:rFonts w:ascii="Cambria Math" w:cs="Cambria Math" w:eastAsia="Cambria Math" w:hAnsi="Cambria Math"/>
                <w:sz w:val="28"/>
                <w:szCs w:val="28"/>
              </w:rPr>
            </m:ctrlPr>
          </m:sSubPr>
          <m:e>
            <m:r>
              <m:t>α</m:t>
            </m:r>
          </m:e>
          <m:sub>
            <m:r>
              <w:rPr>
                <w:rFonts w:ascii="Cambria Math" w:cs="Cambria Math" w:eastAsia="Cambria Math" w:hAnsi="Cambria Math"/>
                <w:sz w:val="28"/>
                <w:szCs w:val="28"/>
              </w:rPr>
              <m:t xml:space="preserve">i</m:t>
            </m:r>
          </m:sub>
        </m:sSub>
      </m:oMath>
      <w:r w:rsidDel="00000000" w:rsidR="00000000" w:rsidRPr="00000000">
        <w:rPr>
          <w:i w:val="1"/>
          <w:iCs w:val="1"/>
          <w:sz w:val="28"/>
          <w:szCs w:val="28"/>
          <w:rtl w:val="0"/>
        </w:rPr>
        <w:t xml:space="preserve"> is the alpha of stock i, </w:t>
      </w:r>
      <m:oMath>
        <m:sSub>
          <m:sSubPr>
            <m:ctrlPr>
              <w:rPr>
                <w:rFonts w:ascii="Cambria Math" w:cs="Cambria Math" w:eastAsia="Cambria Math" w:hAnsi="Cambria Math"/>
                <w:sz w:val="28"/>
                <w:szCs w:val="28"/>
              </w:rPr>
            </m:ctrlPr>
          </m:sSubPr>
          <m:e>
            <m:r>
              <m:t>β</m:t>
            </m:r>
          </m:e>
          <m:sub>
            <m:r>
              <w:rPr>
                <w:rFonts w:ascii="Cambria Math" w:cs="Cambria Math" w:eastAsia="Cambria Math" w:hAnsi="Cambria Math"/>
                <w:sz w:val="28"/>
                <w:szCs w:val="28"/>
              </w:rPr>
              <m:t xml:space="preserve">i</m:t>
            </m:r>
          </m:sub>
        </m:sSub>
      </m:oMath>
      <w:r w:rsidDel="00000000" w:rsidR="00000000" w:rsidRPr="00000000">
        <w:rPr>
          <w:i w:val="1"/>
          <w:iCs w:val="1"/>
          <w:sz w:val="28"/>
          <w:szCs w:val="28"/>
          <w:rtl w:val="0"/>
        </w:rPr>
        <w:t xml:space="preserve"> is the beta of stock i, and </w:t>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R</m:t>
            </m:r>
          </m:e>
          <m:sub>
            <m:r>
              <w:rPr>
                <w:rFonts w:ascii="Cambria Math" w:cs="Cambria Math" w:eastAsia="Cambria Math" w:hAnsi="Cambria Math"/>
                <w:sz w:val="28"/>
                <w:szCs w:val="28"/>
              </w:rPr>
              <m:t xml:space="preserve">m,t</m:t>
            </m:r>
          </m:sub>
        </m:sSub>
      </m:oMath>
      <w:r w:rsidDel="00000000" w:rsidR="00000000" w:rsidRPr="00000000">
        <w:rPr>
          <w:i w:val="1"/>
          <w:iCs w:val="1"/>
          <w:sz w:val="28"/>
          <w:szCs w:val="28"/>
          <w:rtl w:val="0"/>
        </w:rPr>
        <w:t xml:space="preserve"> is the market return on day t.</w:t>
        <w:br w:type="textWrapping"/>
        <w:br w:type="textWrapping"/>
        <w:br w:type="textWrapping"/>
        <w:t xml:space="preserve">Daily abnormal returns within the event window were summed to obtain the cumulative abnormal return (CAR) for each stock and event by using;</w:t>
        <w:br w:type="textWrapping"/>
        <w:br w:type="textWrapping"/>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CAR</m:t>
            </m:r>
          </m:e>
          <m:sub>
            <m:r>
              <w:rPr>
                <w:rFonts w:ascii="Cambria Math" w:cs="Cambria Math" w:eastAsia="Cambria Math" w:hAnsi="Cambria Math"/>
                <w:sz w:val="28"/>
                <w:szCs w:val="28"/>
              </w:rPr>
              <m:t xml:space="preserve">i</m:t>
            </m:r>
          </m:sub>
        </m:sSub>
        <m:d>
          <m:dPr>
            <m:begChr m:val="("/>
            <m:endChr m:val=")"/>
            <m:ctrlPr>
              <w:rPr>
                <w:rFonts w:ascii="Cambria Math" w:cs="Cambria Math" w:eastAsia="Cambria Math" w:hAnsi="Cambria Math"/>
                <w:sz w:val="28"/>
                <w:szCs w:val="28"/>
              </w:rPr>
            </m:ctrlPr>
          </m:dPr>
          <m:e>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t</m:t>
                </m:r>
              </m:e>
              <m:sub>
                <m:r>
                  <w:rPr>
                    <w:rFonts w:ascii="Cambria Math" w:cs="Cambria Math" w:eastAsia="Cambria Math" w:hAnsi="Cambria Math"/>
                    <w:sz w:val="28"/>
                    <w:szCs w:val="28"/>
                  </w:rPr>
                  <m:t xml:space="preserve">1</m:t>
                </m:r>
              </m:sub>
            </m:sSub>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t</m:t>
                </m:r>
              </m:e>
              <m:sub>
                <m:r>
                  <w:rPr>
                    <w:rFonts w:ascii="Cambria Math" w:cs="Cambria Math" w:eastAsia="Cambria Math" w:hAnsi="Cambria Math"/>
                    <w:sz w:val="28"/>
                    <w:szCs w:val="28"/>
                  </w:rPr>
                  <m:t xml:space="preserve">2</m:t>
                </m:r>
              </m:sub>
            </m:sSub>
          </m:e>
        </m:d>
        <m:r>
          <w:rPr>
            <w:rFonts w:ascii="Cambria Math" w:cs="Cambria Math" w:eastAsia="Cambria Math" w:hAnsi="Cambria Math"/>
            <w:sz w:val="28"/>
            <w:szCs w:val="28"/>
          </w:rPr>
          <m:t xml:space="preserve">=</m:t>
        </m:r>
        <m:nary>
          <m:naryPr>
            <m:chr m:val="∑"/>
            <m:ctrlPr>
              <w:rPr>
                <w:rFonts w:ascii="Cambria Math" w:cs="Cambria Math" w:eastAsia="Cambria Math" w:hAnsi="Cambria Math"/>
                <w:sz w:val="28"/>
                <w:szCs w:val="28"/>
              </w:rPr>
            </m:ctrlPr>
          </m:naryPr>
          <m:sub>
            <m:r>
              <w:rPr>
                <w:rFonts w:ascii="Cambria Math" w:cs="Cambria Math" w:eastAsia="Cambria Math" w:hAnsi="Cambria Math"/>
                <w:sz w:val="28"/>
                <w:szCs w:val="28"/>
              </w:rPr>
              <m:t xml:space="preserve">t=</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t</m:t>
                </m:r>
              </m:e>
              <m:sub>
                <m:r>
                  <w:rPr>
                    <w:rFonts w:ascii="Cambria Math" w:cs="Cambria Math" w:eastAsia="Cambria Math" w:hAnsi="Cambria Math"/>
                    <w:sz w:val="28"/>
                    <w:szCs w:val="28"/>
                  </w:rPr>
                  <m:t xml:space="preserve">1</m:t>
                </m:r>
              </m:sub>
            </m:sSub>
          </m:sub>
          <m:sup>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t</m:t>
                </m:r>
              </m:e>
              <m:sub>
                <m:r>
                  <w:rPr>
                    <w:rFonts w:ascii="Cambria Math" w:cs="Cambria Math" w:eastAsia="Cambria Math" w:hAnsi="Cambria Math"/>
                    <w:sz w:val="28"/>
                    <w:szCs w:val="28"/>
                  </w:rPr>
                  <m:t xml:space="preserve">2</m:t>
                </m:r>
              </m:sub>
            </m:sSub>
          </m:sup>
        </m:nary>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AR</m:t>
            </m:r>
          </m:e>
          <m:sub>
            <m:r>
              <w:rPr>
                <w:rFonts w:ascii="Cambria Math" w:cs="Cambria Math" w:eastAsia="Cambria Math" w:hAnsi="Cambria Math"/>
                <w:sz w:val="28"/>
                <w:szCs w:val="28"/>
              </w:rPr>
              <m:t xml:space="preserve">i,t</m:t>
            </m:r>
          </m:sub>
        </m:sSub>
      </m:oMath>
      <w:r w:rsidDel="00000000" w:rsidR="00000000" w:rsidRPr="00000000">
        <w:rPr>
          <w:rtl w:val="0"/>
        </w:rPr>
      </w:r>
    </w:p>
    <w:p w:rsidR="00000000" w:rsidDel="00000000" w:rsidP="00000000" w:rsidRDefault="00000000" w:rsidRPr="00000000" w14:paraId="0000002A">
      <w:pPr>
        <w:jc w:val="center"/>
        <w:rPr>
          <w:rFonts w:ascii="Cambria Math" w:cs="Cambria Math" w:eastAsia="Cambria Math" w:hAnsi="Cambria Math"/>
          <w:color w:val="374151"/>
          <w:sz w:val="32"/>
          <w:szCs w:val="32"/>
          <w:highlight w:val="white"/>
        </w:rPr>
      </w:pPr>
      <w:r w:rsidDel="00000000" w:rsidR="00000000" w:rsidRPr="00000000">
        <w:rPr>
          <w:i w:val="1"/>
          <w:iCs w:val="1"/>
          <w:color w:val="374151"/>
          <w:sz w:val="28"/>
          <w:szCs w:val="28"/>
          <w:highlight w:val="white"/>
          <w:rtl w:val="0"/>
        </w:rPr>
        <w:t xml:space="preserve">where </w:t>
      </w:r>
      <m:oMath>
        <m:r>
          <w:rPr>
            <w:rFonts w:ascii="Cambria Math" w:cs="Cambria Math" w:eastAsia="Cambria Math" w:hAnsi="Cambria Math"/>
            <w:sz w:val="28"/>
            <w:szCs w:val="28"/>
          </w:rPr>
          <m:t xml:space="preserve">AR</m:t>
        </m:r>
      </m:oMath>
      <w:r w:rsidDel="00000000" w:rsidR="00000000" w:rsidRPr="00000000">
        <w:rPr>
          <w:i w:val="1"/>
          <w:iCs w:val="1"/>
          <w:sz w:val="28"/>
          <w:szCs w:val="28"/>
          <w:rtl w:val="0"/>
        </w:rPr>
        <w:t xml:space="preserve"> is the abnormal return of a specific stock on a specific day, </w:t>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t</m:t>
            </m:r>
          </m:e>
          <m:sub>
            <m:r>
              <w:rPr>
                <w:rFonts w:ascii="Cambria Math" w:cs="Cambria Math" w:eastAsia="Cambria Math" w:hAnsi="Cambria Math"/>
                <w:sz w:val="28"/>
                <w:szCs w:val="28"/>
              </w:rPr>
              <m:t xml:space="preserve">1</m:t>
            </m:r>
          </m:sub>
        </m:sSub>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t</m:t>
            </m:r>
          </m:e>
          <m:sub>
            <m:r>
              <w:rPr>
                <w:rFonts w:ascii="Cambria Math" w:cs="Cambria Math" w:eastAsia="Cambria Math" w:hAnsi="Cambria Math"/>
                <w:sz w:val="28"/>
                <w:szCs w:val="28"/>
              </w:rPr>
              <m:t xml:space="preserve">2</m:t>
            </m:r>
          </m:sub>
        </m:sSub>
      </m:oMath>
      <w:r w:rsidDel="00000000" w:rsidR="00000000" w:rsidRPr="00000000">
        <w:rPr>
          <w:i w:val="1"/>
          <w:iCs w:val="1"/>
          <w:sz w:val="28"/>
          <w:szCs w:val="28"/>
          <w:rtl w:val="0"/>
        </w:rPr>
        <w:t xml:space="preserve"> is start and end days of the event window</w:t>
        <w:br w:type="textWrapping"/>
        <w:br w:type="textWrapping"/>
        <w:br w:type="textWrapping"/>
        <w:br w:type="textWrapping"/>
        <w:br w:type="textWrapping"/>
        <w:t xml:space="preserve">To determine whether each CAR was statistically significant, this formula was used:</w:t>
        <w:br w:type="textWrapping"/>
      </w:r>
      <m:oMath>
        <m:r>
          <w:rPr>
            <w:rFonts w:ascii="Cambria Math" w:cs="Cambria Math" w:eastAsia="Cambria Math" w:hAnsi="Cambria Math"/>
            <w:color w:val="374151"/>
            <w:sz w:val="32"/>
            <w:szCs w:val="32"/>
            <w:highlight w:val="white"/>
          </w:rPr>
          <m:t xml:space="preserve">t=</m:t>
        </m:r>
        <m:f>
          <m:fPr>
            <m:ctrlPr>
              <w:rPr>
                <w:rFonts w:ascii="Cambria Math" w:cs="Cambria Math" w:eastAsia="Cambria Math" w:hAnsi="Cambria Math"/>
                <w:color w:val="374151"/>
                <w:sz w:val="32"/>
                <w:szCs w:val="32"/>
                <w:highlight w:val="white"/>
              </w:rPr>
            </m:ctrlPr>
          </m:fPr>
          <m:num>
            <m:r>
              <w:rPr>
                <w:rFonts w:ascii="Cambria Math" w:cs="Cambria Math" w:eastAsia="Cambria Math" w:hAnsi="Cambria Math"/>
                <w:color w:val="374151"/>
                <w:sz w:val="32"/>
                <w:szCs w:val="32"/>
                <w:highlight w:val="white"/>
              </w:rPr>
              <m:t xml:space="preserve">CA</m:t>
            </m:r>
            <m:sSub>
              <m:sSubPr>
                <m:ctrlPr>
                  <w:rPr>
                    <w:rFonts w:ascii="Cambria Math" w:cs="Cambria Math" w:eastAsia="Cambria Math" w:hAnsi="Cambria Math"/>
                    <w:color w:val="374151"/>
                    <w:sz w:val="32"/>
                    <w:szCs w:val="32"/>
                    <w:highlight w:val="white"/>
                  </w:rPr>
                </m:ctrlPr>
              </m:sSubPr>
              <m:e>
                <m:r>
                  <w:rPr>
                    <w:rFonts w:ascii="Cambria Math" w:cs="Cambria Math" w:eastAsia="Cambria Math" w:hAnsi="Cambria Math"/>
                    <w:color w:val="374151"/>
                    <w:sz w:val="32"/>
                    <w:szCs w:val="32"/>
                    <w:highlight w:val="white"/>
                  </w:rPr>
                  <m:t xml:space="preserve">R</m:t>
                </m:r>
              </m:e>
              <m:sub>
                <m:r>
                  <w:rPr>
                    <w:rFonts w:ascii="Cambria Math" w:cs="Cambria Math" w:eastAsia="Cambria Math" w:hAnsi="Cambria Math"/>
                    <w:color w:val="374151"/>
                    <w:sz w:val="32"/>
                    <w:szCs w:val="32"/>
                    <w:highlight w:val="white"/>
                  </w:rPr>
                  <m:t xml:space="preserve">i</m:t>
                </m:r>
              </m:sub>
            </m:sSub>
          </m:num>
          <m:den>
            <m:r>
              <w:rPr>
                <w:rFonts w:ascii="Cambria Math" w:cs="Cambria Math" w:eastAsia="Cambria Math" w:hAnsi="Cambria Math"/>
                <w:color w:val="374151"/>
                <w:sz w:val="32"/>
                <w:szCs w:val="32"/>
                <w:highlight w:val="white"/>
              </w:rPr>
              <m:t>σ</m:t>
            </m:r>
            <m:d>
              <m:dPr>
                <m:begChr m:val="("/>
                <m:endChr m:val=")"/>
                <m:ctrlPr>
                  <w:rPr>
                    <w:rFonts w:ascii="Cambria Math" w:cs="Cambria Math" w:eastAsia="Cambria Math" w:hAnsi="Cambria Math"/>
                    <w:color w:val="374151"/>
                    <w:sz w:val="32"/>
                    <w:szCs w:val="32"/>
                    <w:highlight w:val="white"/>
                  </w:rPr>
                </m:ctrlPr>
              </m:dPr>
              <m:e>
                <m:r>
                  <w:rPr>
                    <w:rFonts w:ascii="Cambria Math" w:cs="Cambria Math" w:eastAsia="Cambria Math" w:hAnsi="Cambria Math"/>
                    <w:color w:val="374151"/>
                    <w:sz w:val="32"/>
                    <w:szCs w:val="32"/>
                    <w:highlight w:val="white"/>
                  </w:rPr>
                  <m:t xml:space="preserve">A</m:t>
                </m:r>
                <m:sSub>
                  <m:sSubPr>
                    <m:ctrlPr>
                      <w:rPr>
                        <w:rFonts w:ascii="Cambria Math" w:cs="Cambria Math" w:eastAsia="Cambria Math" w:hAnsi="Cambria Math"/>
                        <w:color w:val="374151"/>
                        <w:sz w:val="32"/>
                        <w:szCs w:val="32"/>
                        <w:highlight w:val="white"/>
                      </w:rPr>
                    </m:ctrlPr>
                  </m:sSubPr>
                  <m:e>
                    <m:r>
                      <w:rPr>
                        <w:rFonts w:ascii="Cambria Math" w:cs="Cambria Math" w:eastAsia="Cambria Math" w:hAnsi="Cambria Math"/>
                        <w:color w:val="374151"/>
                        <w:sz w:val="32"/>
                        <w:szCs w:val="32"/>
                        <w:highlight w:val="white"/>
                      </w:rPr>
                      <m:t xml:space="preserve">R</m:t>
                    </m:r>
                  </m:e>
                  <m:sub>
                    <m:r>
                      <w:rPr>
                        <w:rFonts w:ascii="Cambria Math" w:cs="Cambria Math" w:eastAsia="Cambria Math" w:hAnsi="Cambria Math"/>
                        <w:color w:val="374151"/>
                        <w:sz w:val="32"/>
                        <w:szCs w:val="32"/>
                        <w:highlight w:val="white"/>
                      </w:rPr>
                      <m:t xml:space="preserve">i</m:t>
                    </m:r>
                  </m:sub>
                </m:sSub>
              </m:e>
            </m:d>
            <m:r>
              <w:rPr>
                <w:rFonts w:ascii="Cambria Math" w:cs="Cambria Math" w:eastAsia="Cambria Math" w:hAnsi="Cambria Math"/>
                <w:color w:val="374151"/>
                <w:sz w:val="32"/>
                <w:szCs w:val="32"/>
                <w:highlight w:val="white"/>
              </w:rPr>
              <m:t xml:space="preserve">×√</m:t>
            </m:r>
            <m:d>
              <m:dPr>
                <m:begChr m:val="("/>
                <m:endChr m:val=")"/>
                <m:ctrlPr>
                  <w:rPr>
                    <w:rFonts w:ascii="Cambria Math" w:cs="Cambria Math" w:eastAsia="Cambria Math" w:hAnsi="Cambria Math"/>
                    <w:color w:val="374151"/>
                    <w:sz w:val="32"/>
                    <w:szCs w:val="32"/>
                    <w:highlight w:val="white"/>
                  </w:rPr>
                </m:ctrlPr>
              </m:dPr>
              <m:e>
                <m:r>
                  <w:rPr>
                    <w:rFonts w:ascii="Cambria Math" w:cs="Cambria Math" w:eastAsia="Cambria Math" w:hAnsi="Cambria Math"/>
                    <w:color w:val="374151"/>
                    <w:sz w:val="32"/>
                    <w:szCs w:val="32"/>
                    <w:highlight w:val="white"/>
                  </w:rPr>
                  <m:t xml:space="preserve">n</m:t>
                </m:r>
              </m:e>
            </m:d>
          </m:den>
        </m:f>
      </m:oMath>
      <w:r w:rsidDel="00000000" w:rsidR="00000000" w:rsidRPr="00000000">
        <w:rPr>
          <w:rtl w:val="0"/>
        </w:rPr>
      </w:r>
    </w:p>
    <w:p w:rsidR="00000000" w:rsidDel="00000000" w:rsidP="00000000" w:rsidRDefault="00000000" w:rsidRPr="00000000" w14:paraId="0000002B">
      <w:pPr>
        <w:rPr>
          <w:i w:val="1"/>
          <w:iCs w:val="1"/>
          <w:color w:val="374151"/>
          <w:sz w:val="28"/>
          <w:szCs w:val="28"/>
          <w:highlight w:val="white"/>
        </w:rPr>
      </w:pPr>
      <w:r w:rsidDel="00000000" w:rsidR="00000000" w:rsidRPr="00000000">
        <w:rPr>
          <w:rtl w:val="0"/>
        </w:rPr>
      </w:r>
    </w:p>
    <w:p w:rsidR="00000000" w:rsidDel="00000000" w:rsidP="00000000" w:rsidRDefault="00000000" w:rsidRPr="00000000" w14:paraId="0000002C">
      <w:pPr>
        <w:rPr>
          <w:i w:val="1"/>
          <w:iCs w:val="1"/>
          <w:sz w:val="28"/>
          <w:szCs w:val="28"/>
        </w:rPr>
      </w:pPr>
      <w:r w:rsidDel="00000000" w:rsidR="00000000" w:rsidRPr="00000000">
        <w:rPr>
          <w:i w:val="1"/>
          <w:iCs w:val="1"/>
          <w:sz w:val="28"/>
          <w:szCs w:val="28"/>
          <w:rtl w:val="0"/>
        </w:rPr>
        <w:t xml:space="preserve">Where </w:t>
      </w:r>
      <m:oMath>
        <m:r>
          <m:t>σ</m:t>
        </m:r>
        <m:d>
          <m:dPr>
            <m:begChr m:val="("/>
            <m:endChr m:val=")"/>
            <m:ctrlPr>
              <w:rPr>
                <w:rFonts w:ascii="Cambria Math" w:cs="Cambria Math" w:eastAsia="Cambria Math" w:hAnsi="Cambria Math"/>
                <w:color w:val="374151"/>
                <w:sz w:val="28"/>
                <w:szCs w:val="28"/>
                <w:highlight w:val="white"/>
              </w:rPr>
            </m:ctrlPr>
          </m:dPr>
          <m:e>
            <m:r>
              <w:rPr>
                <w:rFonts w:ascii="Cambria Math" w:cs="Cambria Math" w:eastAsia="Cambria Math" w:hAnsi="Cambria Math"/>
                <w:color w:val="374151"/>
                <w:sz w:val="28"/>
                <w:szCs w:val="28"/>
                <w:highlight w:val="white"/>
              </w:rPr>
              <m:t xml:space="preserve">A</m:t>
            </m:r>
            <m:sSub>
              <m:sSubPr>
                <m:ctrlPr>
                  <w:rPr>
                    <w:rFonts w:ascii="Cambria Math" w:cs="Cambria Math" w:eastAsia="Cambria Math" w:hAnsi="Cambria Math"/>
                    <w:color w:val="374151"/>
                    <w:sz w:val="28"/>
                    <w:szCs w:val="28"/>
                    <w:highlight w:val="white"/>
                  </w:rPr>
                </m:ctrlPr>
              </m:sSubPr>
              <m:e>
                <m:r>
                  <w:rPr>
                    <w:rFonts w:ascii="Cambria Math" w:cs="Cambria Math" w:eastAsia="Cambria Math" w:hAnsi="Cambria Math"/>
                    <w:color w:val="374151"/>
                    <w:sz w:val="28"/>
                    <w:szCs w:val="28"/>
                    <w:highlight w:val="white"/>
                  </w:rPr>
                  <m:t xml:space="preserve">R</m:t>
                </m:r>
              </m:e>
              <m:sub>
                <m:r>
                  <w:rPr>
                    <w:rFonts w:ascii="Cambria Math" w:cs="Cambria Math" w:eastAsia="Cambria Math" w:hAnsi="Cambria Math"/>
                    <w:color w:val="374151"/>
                    <w:sz w:val="28"/>
                    <w:szCs w:val="28"/>
                    <w:highlight w:val="white"/>
                  </w:rPr>
                  <m:t xml:space="preserve">i</m:t>
                </m:r>
              </m:sub>
            </m:sSub>
          </m:e>
        </m:d>
      </m:oMath>
      <w:r w:rsidDel="00000000" w:rsidR="00000000" w:rsidRPr="00000000">
        <w:rPr>
          <w:i w:val="1"/>
          <w:iCs w:val="1"/>
          <w:color w:val="374151"/>
          <w:sz w:val="28"/>
          <w:szCs w:val="28"/>
          <w:highlight w:val="white"/>
          <w:rtl w:val="0"/>
        </w:rPr>
        <w:t xml:space="preserve"> </w:t>
      </w:r>
      <w:r w:rsidDel="00000000" w:rsidR="00000000" w:rsidRPr="00000000">
        <w:rPr>
          <w:i w:val="1"/>
          <w:iCs w:val="1"/>
          <w:sz w:val="28"/>
          <w:szCs w:val="28"/>
          <w:rtl w:val="0"/>
        </w:rPr>
        <w:t xml:space="preserve">is the standard deviation of abnormal returns during the estimation window, and n is the number of trading days in the event window.</w:t>
        <w:br w:type="textWrapping"/>
        <w:br w:type="textWrapping"/>
        <w:br w:type="textWrapping"/>
      </w:r>
    </w:p>
    <w:p w:rsidR="00000000" w:rsidDel="00000000" w:rsidP="00000000" w:rsidRDefault="00000000" w:rsidRPr="00000000" w14:paraId="0000002D">
      <w:pPr>
        <w:jc w:val="center"/>
        <w:rPr>
          <w:b w:val="1"/>
          <w:bCs w:val="1"/>
          <w:sz w:val="32"/>
          <w:szCs w:val="32"/>
        </w:rPr>
      </w:pPr>
      <w:r w:rsidDel="00000000" w:rsidR="00000000" w:rsidRPr="00000000">
        <w:rPr>
          <w:b w:val="1"/>
          <w:bCs w:val="1"/>
          <w:sz w:val="32"/>
          <w:szCs w:val="32"/>
          <w:rtl w:val="0"/>
        </w:rPr>
        <w:t xml:space="preserve">Results</w:t>
      </w:r>
    </w:p>
    <w:p w:rsidR="00000000" w:rsidDel="00000000" w:rsidP="00000000" w:rsidRDefault="00000000" w:rsidRPr="00000000" w14:paraId="0000002E">
      <w:pPr>
        <w:rPr>
          <w:i w:val="1"/>
          <w:iCs w:val="1"/>
          <w:sz w:val="28"/>
          <w:szCs w:val="28"/>
        </w:rPr>
      </w:pPr>
      <w:r w:rsidDel="00000000" w:rsidR="00000000" w:rsidRPr="00000000">
        <w:rPr>
          <w:b w:val="1"/>
          <w:bCs w:val="1"/>
          <w:sz w:val="32"/>
          <w:szCs w:val="32"/>
          <w:rtl w:val="0"/>
        </w:rPr>
        <w:br w:type="textWrapping"/>
      </w:r>
      <w:r w:rsidDel="00000000" w:rsidR="00000000" w:rsidRPr="00000000">
        <w:rPr>
          <w:b w:val="1"/>
          <w:bCs w:val="1"/>
          <w:i w:val="1"/>
          <w:iCs w:val="1"/>
          <w:sz w:val="28"/>
          <w:szCs w:val="28"/>
          <w:rtl w:val="0"/>
        </w:rPr>
        <w:t xml:space="preserve">Overview</w:t>
        <w:br w:type="textWrapping"/>
      </w:r>
      <w:r w:rsidDel="00000000" w:rsidR="00000000" w:rsidRPr="00000000">
        <w:rPr>
          <w:i w:val="1"/>
          <w:iCs w:val="1"/>
          <w:sz w:val="28"/>
          <w:szCs w:val="28"/>
          <w:rtl w:val="0"/>
        </w:rPr>
        <w:t xml:space="preserve">This study analysed the cumulative abnormal returns of the selected three stocks across the five major political announcements. 15 observations were produced yet only 1 of them produced a statistically significant result at the p &lt; 0.05 level. Apple during the EU Digital Markets Act compliance deadline. All remaining 14 observations failed to reach statistical significance, suggesting that for most events, the observed abnormal returns could not be distinguished from random market noise.</w:t>
        <w:br w:type="textWrapping"/>
        <w:br w:type="textWrapping"/>
      </w:r>
      <w:r w:rsidDel="00000000" w:rsidR="00000000" w:rsidRPr="00000000">
        <w:rPr>
          <w:b w:val="1"/>
          <w:bCs w:val="1"/>
          <w:i w:val="1"/>
          <w:iCs w:val="1"/>
          <w:sz w:val="28"/>
          <w:szCs w:val="28"/>
          <w:rtl w:val="0"/>
        </w:rPr>
        <w:t xml:space="preserve">Results Table</w:t>
        <w:br w:type="textWrapping"/>
        <w:br w:type="textWrapping"/>
      </w:r>
      <w:r w:rsidDel="00000000" w:rsidR="00000000" w:rsidRPr="00000000">
        <w:rPr>
          <w:rtl w:val="0"/>
        </w:rPr>
      </w:r>
    </w:p>
    <w:tbl>
      <w:tblPr>
        <w:tblStyle w:val="Table2"/>
        <w:tblW w:w="9016.0" w:type="dxa"/>
        <w:jc w:val="left"/>
        <w:tblLayout w:type="fixed"/>
        <w:tblLook w:val="04A0"/>
      </w:tblPr>
      <w:tblGrid>
        <w:gridCol w:w="9016"/>
        <w:tblGridChange w:id="0">
          <w:tblGrid>
            <w:gridCol w:w="9016"/>
          </w:tblGrid>
        </w:tblGridChange>
      </w:tblGrid>
      <w:tr>
        <w:trPr>
          <w:cantSplit w:val="0"/>
          <w:tblHeader w:val="0"/>
        </w:trPr>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8"/>
                <w:szCs w:val="28"/>
              </w:rPr>
            </w:pPr>
            <w:r w:rsidDel="00000000" w:rsidR="00000000" w:rsidRPr="00000000">
              <w:rPr>
                <w:rtl w:val="0"/>
              </w:rPr>
            </w:r>
          </w:p>
          <w:tbl>
            <w:tblPr>
              <w:tblStyle w:val="Table3"/>
              <w:tblW w:w="8790.0" w:type="dxa"/>
              <w:jc w:val="left"/>
              <w:tblLayout w:type="fixed"/>
              <w:tblLook w:val="05A0"/>
            </w:tblPr>
            <w:tblGrid>
              <w:gridCol w:w="2057"/>
              <w:gridCol w:w="1762"/>
              <w:gridCol w:w="995"/>
              <w:gridCol w:w="1110"/>
              <w:gridCol w:w="948"/>
              <w:gridCol w:w="1918"/>
              <w:tblGridChange w:id="0">
                <w:tblGrid>
                  <w:gridCol w:w="2057"/>
                  <w:gridCol w:w="1762"/>
                  <w:gridCol w:w="995"/>
                  <w:gridCol w:w="1110"/>
                  <w:gridCol w:w="948"/>
                  <w:gridCol w:w="1918"/>
                </w:tblGrid>
              </w:tblGridChange>
            </w:tblGrid>
            <w:tr>
              <w:trPr>
                <w:cantSplit w:val="0"/>
                <w:tblHeader w:val="0"/>
              </w:trPr>
              <w:tc>
                <w:tcPr>
                  <w:tcBorders>
                    <w:top w:color="000000" w:space="0" w:sz="4" w:val="single"/>
                    <w:left w:color="000000" w:space="0" w:sz="4" w:val="single"/>
                  </w:tcBorders>
                </w:tcPr>
                <w:p w:rsidR="00000000" w:rsidDel="00000000" w:rsidP="00000000" w:rsidRDefault="00000000" w:rsidRPr="00000000" w14:paraId="00000030">
                  <w:pPr>
                    <w:jc w:val="center"/>
                    <w:rPr>
                      <w:b w:val="1"/>
                      <w:bCs w:val="1"/>
                    </w:rPr>
                  </w:pPr>
                  <w:r w:rsidDel="00000000" w:rsidR="00000000" w:rsidRPr="00000000">
                    <w:rPr>
                      <w:b w:val="1"/>
                      <w:bCs w:val="1"/>
                      <w:rtl w:val="0"/>
                    </w:rPr>
                    <w:t xml:space="preserve">Event</w:t>
                  </w:r>
                </w:p>
              </w:tc>
              <w:tc>
                <w:tcPr>
                  <w:tcBorders>
                    <w:top w:color="000000" w:space="0" w:sz="4" w:val="single"/>
                  </w:tcBorders>
                </w:tcPr>
                <w:p w:rsidR="00000000" w:rsidDel="00000000" w:rsidP="00000000" w:rsidRDefault="00000000" w:rsidRPr="00000000" w14:paraId="00000031">
                  <w:pPr>
                    <w:jc w:val="center"/>
                    <w:rPr>
                      <w:b w:val="1"/>
                      <w:bCs w:val="1"/>
                    </w:rPr>
                  </w:pPr>
                  <w:r w:rsidDel="00000000" w:rsidR="00000000" w:rsidRPr="00000000">
                    <w:rPr>
                      <w:b w:val="1"/>
                      <w:bCs w:val="1"/>
                      <w:rtl w:val="0"/>
                    </w:rPr>
                    <w:t xml:space="preserve">Stock</w:t>
                  </w:r>
                </w:p>
              </w:tc>
              <w:tc>
                <w:tcPr>
                  <w:tcBorders>
                    <w:top w:color="000000" w:space="0" w:sz="4" w:val="single"/>
                  </w:tcBorders>
                </w:tcPr>
                <w:p w:rsidR="00000000" w:rsidDel="00000000" w:rsidP="00000000" w:rsidRDefault="00000000" w:rsidRPr="00000000" w14:paraId="00000032">
                  <w:pPr>
                    <w:jc w:val="center"/>
                    <w:rPr>
                      <w:b w:val="1"/>
                      <w:bCs w:val="1"/>
                    </w:rPr>
                  </w:pPr>
                  <w:r w:rsidDel="00000000" w:rsidR="00000000" w:rsidRPr="00000000">
                    <w:rPr>
                      <w:b w:val="1"/>
                      <w:bCs w:val="1"/>
                      <w:rtl w:val="0"/>
                    </w:rPr>
                    <w:t xml:space="preserve">CAR (%)</w:t>
                  </w:r>
                </w:p>
              </w:tc>
              <w:tc>
                <w:tcPr>
                  <w:tcBorders>
                    <w:top w:color="000000" w:space="0" w:sz="4" w:val="single"/>
                  </w:tcBorders>
                </w:tcPr>
                <w:p w:rsidR="00000000" w:rsidDel="00000000" w:rsidP="00000000" w:rsidRDefault="00000000" w:rsidRPr="00000000" w14:paraId="00000033">
                  <w:pPr>
                    <w:jc w:val="center"/>
                    <w:rPr>
                      <w:b w:val="1"/>
                      <w:bCs w:val="1"/>
                    </w:rPr>
                  </w:pPr>
                  <w:r w:rsidDel="00000000" w:rsidR="00000000" w:rsidRPr="00000000">
                    <w:rPr>
                      <w:b w:val="1"/>
                      <w:bCs w:val="1"/>
                      <w:rtl w:val="0"/>
                    </w:rPr>
                    <w:t xml:space="preserve">t-statistic</w:t>
                  </w:r>
                </w:p>
              </w:tc>
              <w:tc>
                <w:tcPr>
                  <w:tcBorders>
                    <w:top w:color="000000" w:space="0" w:sz="4" w:val="single"/>
                  </w:tcBorders>
                </w:tcPr>
                <w:p w:rsidR="00000000" w:rsidDel="00000000" w:rsidP="00000000" w:rsidRDefault="00000000" w:rsidRPr="00000000" w14:paraId="00000034">
                  <w:pPr>
                    <w:jc w:val="center"/>
                    <w:rPr>
                      <w:b w:val="1"/>
                      <w:bCs w:val="1"/>
                    </w:rPr>
                  </w:pPr>
                  <w:r w:rsidDel="00000000" w:rsidR="00000000" w:rsidRPr="00000000">
                    <w:rPr>
                      <w:b w:val="1"/>
                      <w:bCs w:val="1"/>
                      <w:rtl w:val="0"/>
                    </w:rPr>
                    <w:t xml:space="preserve">p-value</w:t>
                  </w:r>
                </w:p>
              </w:tc>
              <w:tc>
                <w:tcPr>
                  <w:tcBorders>
                    <w:top w:color="000000" w:space="0" w:sz="4" w:val="single"/>
                    <w:right w:color="000000" w:space="0" w:sz="4" w:val="single"/>
                  </w:tcBorders>
                </w:tcPr>
                <w:p w:rsidR="00000000" w:rsidDel="00000000" w:rsidP="00000000" w:rsidRDefault="00000000" w:rsidRPr="00000000" w14:paraId="00000035">
                  <w:pPr>
                    <w:jc w:val="center"/>
                    <w:rPr>
                      <w:b w:val="1"/>
                      <w:bCs w:val="1"/>
                    </w:rPr>
                  </w:pPr>
                  <w:r w:rsidDel="00000000" w:rsidR="00000000" w:rsidRPr="00000000">
                    <w:rPr>
                      <w:b w:val="1"/>
                      <w:bCs w:val="1"/>
                      <w:rtl w:val="0"/>
                    </w:rPr>
                    <w:t xml:space="preserve">Significant (p&lt;0.05)</w:t>
                  </w:r>
                </w:p>
              </w:tc>
            </w:tr>
            <w:tr>
              <w:trPr>
                <w:cantSplit w:val="0"/>
                <w:tblHeader w:val="0"/>
              </w:trPr>
              <w:tc>
                <w:tcPr>
                  <w:tcBorders>
                    <w:left w:color="000000" w:space="0" w:sz="4" w:val="single"/>
                  </w:tcBorders>
                </w:tcPr>
                <w:p w:rsidR="00000000" w:rsidDel="00000000" w:rsidP="00000000" w:rsidRDefault="00000000" w:rsidRPr="00000000" w14:paraId="00000036">
                  <w:pPr>
                    <w:jc w:val="left"/>
                    <w:rPr/>
                  </w:pPr>
                  <w:r w:rsidDel="00000000" w:rsidR="00000000" w:rsidRPr="00000000">
                    <w:rPr>
                      <w:rtl w:val="0"/>
                    </w:rPr>
                    <w:t xml:space="preserve">2024 Election</w:t>
                  </w:r>
                </w:p>
              </w:tc>
              <w:tc>
                <w:tcPr/>
                <w:p w:rsidR="00000000" w:rsidDel="00000000" w:rsidP="00000000" w:rsidRDefault="00000000" w:rsidRPr="00000000" w14:paraId="00000037">
                  <w:pPr>
                    <w:rPr/>
                  </w:pPr>
                  <w:r w:rsidDel="00000000" w:rsidR="00000000" w:rsidRPr="00000000">
                    <w:rPr>
                      <w:rtl w:val="0"/>
                    </w:rPr>
                    <w:t xml:space="preserve">AAPL</w:t>
                  </w:r>
                </w:p>
              </w:tc>
              <w:tc>
                <w:tcPr/>
                <w:p w:rsidR="00000000" w:rsidDel="00000000" w:rsidP="00000000" w:rsidRDefault="00000000" w:rsidRPr="00000000" w14:paraId="00000038">
                  <w:pPr>
                    <w:rPr/>
                  </w:pPr>
                  <w:r w:rsidDel="00000000" w:rsidR="00000000" w:rsidRPr="00000000">
                    <w:rPr>
                      <w:rtl w:val="0"/>
                    </w:rPr>
                    <w:t xml:space="preserve">-7.59</w:t>
                  </w:r>
                </w:p>
              </w:tc>
              <w:tc>
                <w:tcPr/>
                <w:p w:rsidR="00000000" w:rsidDel="00000000" w:rsidP="00000000" w:rsidRDefault="00000000" w:rsidRPr="00000000" w14:paraId="00000039">
                  <w:pPr>
                    <w:rPr/>
                  </w:pPr>
                  <w:r w:rsidDel="00000000" w:rsidR="00000000" w:rsidRPr="00000000">
                    <w:rPr>
                      <w:rtl w:val="0"/>
                    </w:rPr>
                    <w:t xml:space="preserve">-1.815</w:t>
                  </w:r>
                </w:p>
              </w:tc>
              <w:tc>
                <w:tcPr/>
                <w:p w:rsidR="00000000" w:rsidDel="00000000" w:rsidP="00000000" w:rsidRDefault="00000000" w:rsidRPr="00000000" w14:paraId="0000003A">
                  <w:pPr>
                    <w:rPr/>
                  </w:pPr>
                  <w:r w:rsidDel="00000000" w:rsidR="00000000" w:rsidRPr="00000000">
                    <w:rPr>
                      <w:rtl w:val="0"/>
                    </w:rPr>
                    <w:t xml:space="preserve">0.0695</w:t>
                  </w:r>
                </w:p>
              </w:tc>
              <w:tc>
                <w:tcPr>
                  <w:tcBorders>
                    <w:right w:color="000000" w:space="0" w:sz="4" w:val="single"/>
                  </w:tcBorders>
                </w:tcPr>
                <w:p w:rsidR="00000000" w:rsidDel="00000000" w:rsidP="00000000" w:rsidRDefault="00000000" w:rsidRPr="00000000" w14:paraId="0000003B">
                  <w:pPr>
                    <w:rPr/>
                  </w:pPr>
                  <w:r w:rsidDel="00000000" w:rsidR="00000000" w:rsidRPr="00000000">
                    <w:rPr>
                      <w:rtl w:val="0"/>
                    </w:rPr>
                    <w:t xml:space="preserve">No</w:t>
                  </w:r>
                </w:p>
              </w:tc>
            </w:tr>
            <w:tr>
              <w:trPr>
                <w:cantSplit w:val="0"/>
                <w:tblHeader w:val="0"/>
              </w:trPr>
              <w:tc>
                <w:tcPr>
                  <w:tcBorders>
                    <w:left w:color="000000" w:space="0" w:sz="4" w:val="single"/>
                  </w:tcBorders>
                </w:tcPr>
                <w:p w:rsidR="00000000" w:rsidDel="00000000" w:rsidP="00000000" w:rsidRDefault="00000000" w:rsidRPr="00000000" w14:paraId="0000003C">
                  <w:pPr>
                    <w:rPr/>
                  </w:pPr>
                  <w:r w:rsidDel="00000000" w:rsidR="00000000" w:rsidRPr="00000000">
                    <w:rPr>
                      <w:rtl w:val="0"/>
                    </w:rPr>
                    <w:t xml:space="preserve">2024 Election</w:t>
                  </w:r>
                </w:p>
              </w:tc>
              <w:tc>
                <w:tcPr/>
                <w:p w:rsidR="00000000" w:rsidDel="00000000" w:rsidP="00000000" w:rsidRDefault="00000000" w:rsidRPr="00000000" w14:paraId="0000003D">
                  <w:pPr>
                    <w:rPr/>
                  </w:pPr>
                  <w:r w:rsidDel="00000000" w:rsidR="00000000" w:rsidRPr="00000000">
                    <w:rPr>
                      <w:rtl w:val="0"/>
                    </w:rPr>
                    <w:t xml:space="preserve">MSFT</w:t>
                  </w:r>
                </w:p>
              </w:tc>
              <w:tc>
                <w:tcPr/>
                <w:p w:rsidR="00000000" w:rsidDel="00000000" w:rsidP="00000000" w:rsidRDefault="00000000" w:rsidRPr="00000000" w14:paraId="0000003E">
                  <w:pPr>
                    <w:rPr/>
                  </w:pPr>
                  <w:r w:rsidDel="00000000" w:rsidR="00000000" w:rsidRPr="00000000">
                    <w:rPr>
                      <w:rtl w:val="0"/>
                    </w:rPr>
                    <w:t xml:space="preserve">-3.21</w:t>
                  </w:r>
                </w:p>
              </w:tc>
              <w:tc>
                <w:tcPr/>
                <w:p w:rsidR="00000000" w:rsidDel="00000000" w:rsidP="00000000" w:rsidRDefault="00000000" w:rsidRPr="00000000" w14:paraId="0000003F">
                  <w:pPr>
                    <w:rPr/>
                  </w:pPr>
                  <w:r w:rsidDel="00000000" w:rsidR="00000000" w:rsidRPr="00000000">
                    <w:rPr>
                      <w:rtl w:val="0"/>
                    </w:rPr>
                    <w:t xml:space="preserve">-1.197</w:t>
                  </w:r>
                </w:p>
              </w:tc>
              <w:tc>
                <w:tcPr/>
                <w:p w:rsidR="00000000" w:rsidDel="00000000" w:rsidP="00000000" w:rsidRDefault="00000000" w:rsidRPr="00000000" w14:paraId="00000040">
                  <w:pPr>
                    <w:rPr/>
                  </w:pPr>
                  <w:r w:rsidDel="00000000" w:rsidR="00000000" w:rsidRPr="00000000">
                    <w:rPr>
                      <w:rtl w:val="0"/>
                    </w:rPr>
                    <w:t xml:space="preserve">0.2313</w:t>
                  </w:r>
                </w:p>
              </w:tc>
              <w:tc>
                <w:tcPr>
                  <w:tcBorders>
                    <w:right w:color="000000" w:space="0" w:sz="4" w:val="single"/>
                  </w:tcBorders>
                </w:tcPr>
                <w:p w:rsidR="00000000" w:rsidDel="00000000" w:rsidP="00000000" w:rsidRDefault="00000000" w:rsidRPr="00000000" w14:paraId="00000041">
                  <w:pPr>
                    <w:rPr/>
                  </w:pPr>
                  <w:r w:rsidDel="00000000" w:rsidR="00000000" w:rsidRPr="00000000">
                    <w:rPr>
                      <w:rtl w:val="0"/>
                    </w:rPr>
                    <w:t xml:space="preserve">No</w:t>
                  </w:r>
                </w:p>
              </w:tc>
            </w:tr>
            <w:tr>
              <w:trPr>
                <w:cantSplit w:val="0"/>
                <w:tblHeader w:val="0"/>
              </w:trPr>
              <w:tc>
                <w:tcPr>
                  <w:tcBorders>
                    <w:left w:color="000000" w:space="0" w:sz="4" w:val="single"/>
                  </w:tcBorders>
                </w:tcPr>
                <w:p w:rsidR="00000000" w:rsidDel="00000000" w:rsidP="00000000" w:rsidRDefault="00000000" w:rsidRPr="00000000" w14:paraId="00000042">
                  <w:pPr>
                    <w:rPr/>
                  </w:pPr>
                  <w:r w:rsidDel="00000000" w:rsidR="00000000" w:rsidRPr="00000000">
                    <w:rPr>
                      <w:rtl w:val="0"/>
                    </w:rPr>
                    <w:t xml:space="preserve">2024 Election</w:t>
                  </w:r>
                </w:p>
              </w:tc>
              <w:tc>
                <w:tcPr/>
                <w:p w:rsidR="00000000" w:rsidDel="00000000" w:rsidP="00000000" w:rsidRDefault="00000000" w:rsidRPr="00000000" w14:paraId="00000043">
                  <w:pPr>
                    <w:rPr/>
                  </w:pPr>
                  <w:r w:rsidDel="00000000" w:rsidR="00000000" w:rsidRPr="00000000">
                    <w:rPr>
                      <w:rtl w:val="0"/>
                    </w:rPr>
                    <w:t xml:space="preserve">NVDA</w:t>
                  </w:r>
                </w:p>
              </w:tc>
              <w:tc>
                <w:tcPr/>
                <w:p w:rsidR="00000000" w:rsidDel="00000000" w:rsidP="00000000" w:rsidRDefault="00000000" w:rsidRPr="00000000" w14:paraId="00000044">
                  <w:pPr>
                    <w:rPr/>
                  </w:pPr>
                  <w:r w:rsidDel="00000000" w:rsidR="00000000" w:rsidRPr="00000000">
                    <w:rPr>
                      <w:rtl w:val="0"/>
                    </w:rPr>
                    <w:t xml:space="preserve">-5.95</w:t>
                  </w:r>
                </w:p>
              </w:tc>
              <w:tc>
                <w:tcPr/>
                <w:p w:rsidR="00000000" w:rsidDel="00000000" w:rsidP="00000000" w:rsidRDefault="00000000" w:rsidRPr="00000000" w14:paraId="00000045">
                  <w:pPr>
                    <w:rPr/>
                  </w:pPr>
                  <w:r w:rsidDel="00000000" w:rsidR="00000000" w:rsidRPr="00000000">
                    <w:rPr>
                      <w:rtl w:val="0"/>
                    </w:rPr>
                    <w:t xml:space="preserve">-0.645</w:t>
                  </w:r>
                </w:p>
              </w:tc>
              <w:tc>
                <w:tcPr/>
                <w:p w:rsidR="00000000" w:rsidDel="00000000" w:rsidP="00000000" w:rsidRDefault="00000000" w:rsidRPr="00000000" w14:paraId="00000046">
                  <w:pPr>
                    <w:rPr/>
                  </w:pPr>
                  <w:r w:rsidDel="00000000" w:rsidR="00000000" w:rsidRPr="00000000">
                    <w:rPr>
                      <w:rtl w:val="0"/>
                    </w:rPr>
                    <w:t xml:space="preserve">0.5192</w:t>
                  </w:r>
                </w:p>
              </w:tc>
              <w:tc>
                <w:tcPr>
                  <w:tcBorders>
                    <w:right w:color="000000" w:space="0" w:sz="4" w:val="single"/>
                  </w:tcBorders>
                </w:tcPr>
                <w:p w:rsidR="00000000" w:rsidDel="00000000" w:rsidP="00000000" w:rsidRDefault="00000000" w:rsidRPr="00000000" w14:paraId="00000047">
                  <w:pPr>
                    <w:rPr/>
                  </w:pPr>
                  <w:r w:rsidDel="00000000" w:rsidR="00000000" w:rsidRPr="00000000">
                    <w:rPr>
                      <w:rtl w:val="0"/>
                    </w:rPr>
                    <w:t xml:space="preserve">No</w:t>
                  </w:r>
                </w:p>
              </w:tc>
            </w:tr>
            <w:tr>
              <w:trPr>
                <w:cantSplit w:val="0"/>
                <w:tblHeader w:val="0"/>
              </w:trPr>
              <w:tc>
                <w:tcPr>
                  <w:tcBorders>
                    <w:left w:color="000000" w:space="0" w:sz="4" w:val="single"/>
                  </w:tcBorders>
                </w:tcPr>
                <w:p w:rsidR="00000000" w:rsidDel="00000000" w:rsidP="00000000" w:rsidRDefault="00000000" w:rsidRPr="00000000" w14:paraId="00000048">
                  <w:pPr>
                    <w:rPr/>
                  </w:pPr>
                  <w:r w:rsidDel="00000000" w:rsidR="00000000" w:rsidRPr="00000000">
                    <w:rPr>
                      <w:rtl w:val="0"/>
                    </w:rPr>
                    <w:t xml:space="preserve">2024 Election</w:t>
                  </w:r>
                </w:p>
              </w:tc>
              <w:tc>
                <w:tcPr/>
                <w:p w:rsidR="00000000" w:rsidDel="00000000" w:rsidP="00000000" w:rsidRDefault="00000000" w:rsidRPr="00000000" w14:paraId="00000049">
                  <w:pPr>
                    <w:rPr>
                      <w:b w:val="1"/>
                      <w:bCs w:val="1"/>
                    </w:rPr>
                  </w:pPr>
                  <w:r w:rsidDel="00000000" w:rsidR="00000000" w:rsidRPr="00000000">
                    <w:rPr>
                      <w:b w:val="1"/>
                      <w:bCs w:val="1"/>
                      <w:rtl w:val="0"/>
                    </w:rPr>
                    <w:t xml:space="preserve">Tech Basket </w:t>
                  </w:r>
                </w:p>
              </w:tc>
              <w:tc>
                <w:tcPr/>
                <w:p w:rsidR="00000000" w:rsidDel="00000000" w:rsidP="00000000" w:rsidRDefault="00000000" w:rsidRPr="00000000" w14:paraId="0000004A">
                  <w:pPr>
                    <w:rPr/>
                  </w:pPr>
                  <w:r w:rsidDel="00000000" w:rsidR="00000000" w:rsidRPr="00000000">
                    <w:rPr>
                      <w:rtl w:val="0"/>
                    </w:rPr>
                    <w:t xml:space="preserve">-5.58</w:t>
                  </w:r>
                </w:p>
              </w:tc>
              <w:tc>
                <w:tcPr/>
                <w:p w:rsidR="00000000" w:rsidDel="00000000" w:rsidP="00000000" w:rsidRDefault="00000000" w:rsidRPr="00000000" w14:paraId="0000004B">
                  <w:pPr>
                    <w:rPr/>
                  </w:pPr>
                  <w:r w:rsidDel="00000000" w:rsidR="00000000" w:rsidRPr="00000000">
                    <w:rPr>
                      <w:rtl w:val="0"/>
                    </w:rPr>
                    <w:t xml:space="preserve">-</w:t>
                  </w:r>
                </w:p>
              </w:tc>
              <w:tc>
                <w:tcPr/>
                <w:p w:rsidR="00000000" w:rsidDel="00000000" w:rsidP="00000000" w:rsidRDefault="00000000" w:rsidRPr="00000000" w14:paraId="0000004C">
                  <w:pPr>
                    <w:rPr/>
                  </w:pPr>
                  <w:r w:rsidDel="00000000" w:rsidR="00000000" w:rsidRPr="00000000">
                    <w:rPr>
                      <w:rtl w:val="0"/>
                    </w:rPr>
                    <w:t xml:space="preserve">-</w:t>
                  </w:r>
                </w:p>
              </w:tc>
              <w:tc>
                <w:tcPr>
                  <w:tcBorders>
                    <w:right w:color="000000" w:space="0" w:sz="4" w:val="single"/>
                  </w:tcBorders>
                </w:tcPr>
                <w:p w:rsidR="00000000" w:rsidDel="00000000" w:rsidP="00000000" w:rsidRDefault="00000000" w:rsidRPr="00000000" w14:paraId="0000004D">
                  <w:pPr>
                    <w:rPr/>
                  </w:pPr>
                  <w:r w:rsidDel="00000000" w:rsidR="00000000" w:rsidRPr="00000000">
                    <w:rPr>
                      <w:rtl w:val="0"/>
                    </w:rPr>
                    <w:t xml:space="preserve">-</w:t>
                  </w:r>
                </w:p>
              </w:tc>
            </w:tr>
            <w:tr>
              <w:trPr>
                <w:cantSplit w:val="0"/>
                <w:tblHeader w:val="0"/>
              </w:trPr>
              <w:tc>
                <w:tcPr>
                  <w:tcBorders>
                    <w:left w:color="000000" w:space="0" w:sz="4" w:val="single"/>
                  </w:tcBorders>
                </w:tcPr>
                <w:p w:rsidR="00000000" w:rsidDel="00000000" w:rsidP="00000000" w:rsidRDefault="00000000" w:rsidRPr="00000000" w14:paraId="0000004E">
                  <w:pPr>
                    <w:rPr/>
                  </w:pPr>
                  <w:r w:rsidDel="00000000" w:rsidR="00000000" w:rsidRPr="00000000">
                    <w:rPr>
                      <w:rtl w:val="0"/>
                    </w:rPr>
                    <w:t xml:space="preserve">2024 Election</w:t>
                  </w:r>
                </w:p>
              </w:tc>
              <w:tc>
                <w:tcPr/>
                <w:p w:rsidR="00000000" w:rsidDel="00000000" w:rsidP="00000000" w:rsidRDefault="00000000" w:rsidRPr="00000000" w14:paraId="0000004F">
                  <w:pPr>
                    <w:rPr>
                      <w:b w:val="1"/>
                      <w:bCs w:val="1"/>
                    </w:rPr>
                  </w:pPr>
                  <w:r w:rsidDel="00000000" w:rsidR="00000000" w:rsidRPr="00000000">
                    <w:rPr>
                      <w:b w:val="1"/>
                      <w:bCs w:val="1"/>
                      <w:rtl w:val="0"/>
                    </w:rPr>
                    <w:t xml:space="preserve">S&amp;P 500 (raw return)</w:t>
                  </w:r>
                </w:p>
              </w:tc>
              <w:tc>
                <w:tcPr/>
                <w:p w:rsidR="00000000" w:rsidDel="00000000" w:rsidP="00000000" w:rsidRDefault="00000000" w:rsidRPr="00000000" w14:paraId="00000050">
                  <w:pPr>
                    <w:rPr/>
                  </w:pPr>
                  <w:r w:rsidDel="00000000" w:rsidR="00000000" w:rsidRPr="00000000">
                    <w:rPr>
                      <w:rtl w:val="0"/>
                    </w:rPr>
                    <w:t xml:space="preserve">+2.64</w:t>
                  </w:r>
                </w:p>
              </w:tc>
              <w:tc>
                <w:tcPr/>
                <w:p w:rsidR="00000000" w:rsidDel="00000000" w:rsidP="00000000" w:rsidRDefault="00000000" w:rsidRPr="00000000" w14:paraId="00000051">
                  <w:pPr>
                    <w:rPr/>
                  </w:pPr>
                  <w:r w:rsidDel="00000000" w:rsidR="00000000" w:rsidRPr="00000000">
                    <w:rPr>
                      <w:rtl w:val="0"/>
                    </w:rPr>
                    <w:t xml:space="preserve">-</w:t>
                  </w:r>
                </w:p>
              </w:tc>
              <w:tc>
                <w:tcPr/>
                <w:p w:rsidR="00000000" w:rsidDel="00000000" w:rsidP="00000000" w:rsidRDefault="00000000" w:rsidRPr="00000000" w14:paraId="00000052">
                  <w:pPr>
                    <w:rPr/>
                  </w:pPr>
                  <w:r w:rsidDel="00000000" w:rsidR="00000000" w:rsidRPr="00000000">
                    <w:rPr>
                      <w:rtl w:val="0"/>
                    </w:rPr>
                    <w:t xml:space="preserve">-</w:t>
                  </w:r>
                </w:p>
              </w:tc>
              <w:tc>
                <w:tcPr>
                  <w:tcBorders>
                    <w:right w:color="000000" w:space="0" w:sz="4" w:val="single"/>
                  </w:tcBorders>
                </w:tcPr>
                <w:p w:rsidR="00000000" w:rsidDel="00000000" w:rsidP="00000000" w:rsidRDefault="00000000" w:rsidRPr="00000000" w14:paraId="00000053">
                  <w:pPr>
                    <w:rPr/>
                  </w:pPr>
                  <w:r w:rsidDel="00000000" w:rsidR="00000000" w:rsidRPr="00000000">
                    <w:rPr>
                      <w:rtl w:val="0"/>
                    </w:rPr>
                    <w:t xml:space="preserve">-</w:t>
                  </w:r>
                </w:p>
              </w:tc>
            </w:tr>
            <w:tr>
              <w:trPr>
                <w:cantSplit w:val="0"/>
                <w:tblHeader w:val="0"/>
              </w:trPr>
              <w:tc>
                <w:tcPr>
                  <w:tcBorders>
                    <w:left w:color="000000" w:space="0" w:sz="4" w:val="single"/>
                  </w:tcBorders>
                </w:tcPr>
                <w:p w:rsidR="00000000" w:rsidDel="00000000" w:rsidP="00000000" w:rsidRDefault="00000000" w:rsidRPr="00000000" w14:paraId="00000054">
                  <w:pPr>
                    <w:rPr/>
                  </w:pPr>
                  <w:r w:rsidDel="00000000" w:rsidR="00000000" w:rsidRPr="00000000">
                    <w:rPr>
                      <w:rtl w:val="0"/>
                    </w:rPr>
                    <w:t xml:space="preserve">Liberation Day Tariffs</w:t>
                  </w:r>
                </w:p>
              </w:tc>
              <w:tc>
                <w:tcPr/>
                <w:p w:rsidR="00000000" w:rsidDel="00000000" w:rsidP="00000000" w:rsidRDefault="00000000" w:rsidRPr="00000000" w14:paraId="00000055">
                  <w:pPr>
                    <w:rPr/>
                  </w:pPr>
                  <w:r w:rsidDel="00000000" w:rsidR="00000000" w:rsidRPr="00000000">
                    <w:rPr>
                      <w:rtl w:val="0"/>
                    </w:rPr>
                    <w:t xml:space="preserve">AAPL</w:t>
                  </w:r>
                </w:p>
              </w:tc>
              <w:tc>
                <w:tcPr/>
                <w:p w:rsidR="00000000" w:rsidDel="00000000" w:rsidP="00000000" w:rsidRDefault="00000000" w:rsidRPr="00000000" w14:paraId="00000056">
                  <w:pPr>
                    <w:rPr/>
                  </w:pPr>
                  <w:r w:rsidDel="00000000" w:rsidR="00000000" w:rsidRPr="00000000">
                    <w:rPr>
                      <w:rtl w:val="0"/>
                    </w:rPr>
                    <w:t xml:space="preserve">-5.55</w:t>
                  </w:r>
                </w:p>
              </w:tc>
              <w:tc>
                <w:tcPr/>
                <w:p w:rsidR="00000000" w:rsidDel="00000000" w:rsidP="00000000" w:rsidRDefault="00000000" w:rsidRPr="00000000" w14:paraId="00000057">
                  <w:pPr>
                    <w:rPr/>
                  </w:pPr>
                  <w:r w:rsidDel="00000000" w:rsidR="00000000" w:rsidRPr="00000000">
                    <w:rPr>
                      <w:rtl w:val="0"/>
                    </w:rPr>
                    <w:t xml:space="preserve">-1.289</w:t>
                  </w:r>
                </w:p>
              </w:tc>
              <w:tc>
                <w:tcPr/>
                <w:p w:rsidR="00000000" w:rsidDel="00000000" w:rsidP="00000000" w:rsidRDefault="00000000" w:rsidRPr="00000000" w14:paraId="00000058">
                  <w:pPr>
                    <w:rPr/>
                  </w:pPr>
                  <w:r w:rsidDel="00000000" w:rsidR="00000000" w:rsidRPr="00000000">
                    <w:rPr>
                      <w:rtl w:val="0"/>
                    </w:rPr>
                    <w:t xml:space="preserve">0.1975</w:t>
                  </w:r>
                </w:p>
              </w:tc>
              <w:tc>
                <w:tcPr>
                  <w:tcBorders>
                    <w:right w:color="000000" w:space="0" w:sz="4" w:val="single"/>
                  </w:tcBorders>
                </w:tcPr>
                <w:p w:rsidR="00000000" w:rsidDel="00000000" w:rsidP="00000000" w:rsidRDefault="00000000" w:rsidRPr="00000000" w14:paraId="00000059">
                  <w:pPr>
                    <w:rPr/>
                  </w:pPr>
                  <w:r w:rsidDel="00000000" w:rsidR="00000000" w:rsidRPr="00000000">
                    <w:rPr>
                      <w:rtl w:val="0"/>
                    </w:rPr>
                    <w:t xml:space="preserve">No</w:t>
                  </w:r>
                </w:p>
              </w:tc>
            </w:tr>
            <w:tr>
              <w:trPr>
                <w:cantSplit w:val="0"/>
                <w:tblHeader w:val="0"/>
              </w:trPr>
              <w:tc>
                <w:tcPr>
                  <w:tcBorders>
                    <w:left w:color="000000" w:space="0" w:sz="4" w:val="single"/>
                  </w:tcBorders>
                </w:tcPr>
                <w:p w:rsidR="00000000" w:rsidDel="00000000" w:rsidP="00000000" w:rsidRDefault="00000000" w:rsidRPr="00000000" w14:paraId="0000005A">
                  <w:pPr>
                    <w:rPr/>
                  </w:pPr>
                  <w:r w:rsidDel="00000000" w:rsidR="00000000" w:rsidRPr="00000000">
                    <w:rPr>
                      <w:rtl w:val="0"/>
                    </w:rPr>
                    <w:t xml:space="preserve">Liberation Day Tariffs</w:t>
                  </w:r>
                </w:p>
              </w:tc>
              <w:tc>
                <w:tcPr/>
                <w:p w:rsidR="00000000" w:rsidDel="00000000" w:rsidP="00000000" w:rsidRDefault="00000000" w:rsidRPr="00000000" w14:paraId="0000005B">
                  <w:pPr>
                    <w:rPr/>
                  </w:pPr>
                  <w:r w:rsidDel="00000000" w:rsidR="00000000" w:rsidRPr="00000000">
                    <w:rPr>
                      <w:rtl w:val="0"/>
                    </w:rPr>
                    <w:t xml:space="preserve">MSFT</w:t>
                  </w:r>
                </w:p>
              </w:tc>
              <w:tc>
                <w:tcPr/>
                <w:p w:rsidR="00000000" w:rsidDel="00000000" w:rsidP="00000000" w:rsidRDefault="00000000" w:rsidRPr="00000000" w14:paraId="0000005C">
                  <w:pPr>
                    <w:rPr/>
                  </w:pPr>
                  <w:r w:rsidDel="00000000" w:rsidR="00000000" w:rsidRPr="00000000">
                    <w:rPr>
                      <w:rtl w:val="0"/>
                    </w:rPr>
                    <w:t xml:space="preserve">+5.34</w:t>
                  </w:r>
                </w:p>
              </w:tc>
              <w:tc>
                <w:tcPr/>
                <w:p w:rsidR="00000000" w:rsidDel="00000000" w:rsidP="00000000" w:rsidRDefault="00000000" w:rsidRPr="00000000" w14:paraId="0000005D">
                  <w:pPr>
                    <w:rPr/>
                  </w:pPr>
                  <w:r w:rsidDel="00000000" w:rsidR="00000000" w:rsidRPr="00000000">
                    <w:rPr>
                      <w:rtl w:val="0"/>
                    </w:rPr>
                    <w:t xml:space="preserve">1.448</w:t>
                  </w:r>
                </w:p>
              </w:tc>
              <w:tc>
                <w:tcPr/>
                <w:p w:rsidR="00000000" w:rsidDel="00000000" w:rsidP="00000000" w:rsidRDefault="00000000" w:rsidRPr="00000000" w14:paraId="0000005E">
                  <w:pPr>
                    <w:rPr/>
                  </w:pPr>
                  <w:r w:rsidDel="00000000" w:rsidR="00000000" w:rsidRPr="00000000">
                    <w:rPr>
                      <w:rtl w:val="0"/>
                    </w:rPr>
                    <w:t xml:space="preserve">0.1476</w:t>
                  </w:r>
                </w:p>
              </w:tc>
              <w:tc>
                <w:tcPr>
                  <w:tcBorders>
                    <w:right w:color="000000" w:space="0" w:sz="4" w:val="single"/>
                  </w:tcBorders>
                </w:tcPr>
                <w:p w:rsidR="00000000" w:rsidDel="00000000" w:rsidP="00000000" w:rsidRDefault="00000000" w:rsidRPr="00000000" w14:paraId="0000005F">
                  <w:pPr>
                    <w:rPr/>
                  </w:pPr>
                  <w:r w:rsidDel="00000000" w:rsidR="00000000" w:rsidRPr="00000000">
                    <w:rPr>
                      <w:rtl w:val="0"/>
                    </w:rPr>
                    <w:t xml:space="preserve">No</w:t>
                  </w:r>
                </w:p>
              </w:tc>
            </w:tr>
            <w:tr>
              <w:trPr>
                <w:cantSplit w:val="0"/>
                <w:tblHeader w:val="0"/>
              </w:trPr>
              <w:tc>
                <w:tcPr>
                  <w:tcBorders>
                    <w:left w:color="000000" w:space="0" w:sz="4" w:val="single"/>
                  </w:tcBorders>
                </w:tcPr>
                <w:p w:rsidR="00000000" w:rsidDel="00000000" w:rsidP="00000000" w:rsidRDefault="00000000" w:rsidRPr="00000000" w14:paraId="00000060">
                  <w:pPr>
                    <w:rPr/>
                  </w:pPr>
                  <w:r w:rsidDel="00000000" w:rsidR="00000000" w:rsidRPr="00000000">
                    <w:rPr>
                      <w:rtl w:val="0"/>
                    </w:rPr>
                    <w:t xml:space="preserve">Liberation Day Tariffs</w:t>
                  </w:r>
                </w:p>
              </w:tc>
              <w:tc>
                <w:tcPr/>
                <w:p w:rsidR="00000000" w:rsidDel="00000000" w:rsidP="00000000" w:rsidRDefault="00000000" w:rsidRPr="00000000" w14:paraId="00000061">
                  <w:pPr>
                    <w:rPr/>
                  </w:pPr>
                  <w:r w:rsidDel="00000000" w:rsidR="00000000" w:rsidRPr="00000000">
                    <w:rPr>
                      <w:rtl w:val="0"/>
                    </w:rPr>
                    <w:t xml:space="preserve">NVDA</w:t>
                  </w:r>
                </w:p>
              </w:tc>
              <w:tc>
                <w:tcPr/>
                <w:p w:rsidR="00000000" w:rsidDel="00000000" w:rsidP="00000000" w:rsidRDefault="00000000" w:rsidRPr="00000000" w14:paraId="00000062">
                  <w:pPr>
                    <w:rPr/>
                  </w:pPr>
                  <w:r w:rsidDel="00000000" w:rsidR="00000000" w:rsidRPr="00000000">
                    <w:rPr>
                      <w:rtl w:val="0"/>
                    </w:rPr>
                    <w:t xml:space="preserve">+9.57</w:t>
                  </w:r>
                </w:p>
              </w:tc>
              <w:tc>
                <w:tcPr/>
                <w:p w:rsidR="00000000" w:rsidDel="00000000" w:rsidP="00000000" w:rsidRDefault="00000000" w:rsidRPr="00000000" w14:paraId="00000063">
                  <w:pPr>
                    <w:rPr/>
                  </w:pPr>
                  <w:r w:rsidDel="00000000" w:rsidR="00000000" w:rsidRPr="00000000">
                    <w:rPr>
                      <w:rtl w:val="0"/>
                    </w:rPr>
                    <w:t xml:space="preserve">1.114</w:t>
                  </w:r>
                </w:p>
              </w:tc>
              <w:tc>
                <w:tcPr/>
                <w:p w:rsidR="00000000" w:rsidDel="00000000" w:rsidP="00000000" w:rsidRDefault="00000000" w:rsidRPr="00000000" w14:paraId="00000064">
                  <w:pPr>
                    <w:rPr/>
                  </w:pPr>
                  <w:r w:rsidDel="00000000" w:rsidR="00000000" w:rsidRPr="00000000">
                    <w:rPr>
                      <w:rtl w:val="0"/>
                    </w:rPr>
                    <w:t xml:space="preserve">0.2653</w:t>
                  </w:r>
                </w:p>
              </w:tc>
              <w:tc>
                <w:tcPr>
                  <w:tcBorders>
                    <w:right w:color="000000" w:space="0" w:sz="4" w:val="single"/>
                  </w:tcBorders>
                </w:tcPr>
                <w:p w:rsidR="00000000" w:rsidDel="00000000" w:rsidP="00000000" w:rsidRDefault="00000000" w:rsidRPr="00000000" w14:paraId="00000065">
                  <w:pPr>
                    <w:rPr/>
                  </w:pPr>
                  <w:r w:rsidDel="00000000" w:rsidR="00000000" w:rsidRPr="00000000">
                    <w:rPr>
                      <w:rtl w:val="0"/>
                    </w:rPr>
                    <w:t xml:space="preserve">No</w:t>
                  </w:r>
                </w:p>
              </w:tc>
            </w:tr>
            <w:tr>
              <w:trPr>
                <w:cantSplit w:val="0"/>
                <w:tblHeader w:val="0"/>
              </w:trPr>
              <w:tc>
                <w:tcPr>
                  <w:tcBorders>
                    <w:left w:color="000000" w:space="0" w:sz="4" w:val="single"/>
                  </w:tcBorders>
                </w:tcPr>
                <w:p w:rsidR="00000000" w:rsidDel="00000000" w:rsidP="00000000" w:rsidRDefault="00000000" w:rsidRPr="00000000" w14:paraId="00000066">
                  <w:pPr>
                    <w:rPr/>
                  </w:pPr>
                  <w:r w:rsidDel="00000000" w:rsidR="00000000" w:rsidRPr="00000000">
                    <w:rPr>
                      <w:rtl w:val="0"/>
                    </w:rPr>
                    <w:t xml:space="preserve">Liberation Day Tariffs</w:t>
                  </w:r>
                </w:p>
              </w:tc>
              <w:tc>
                <w:tcPr/>
                <w:p w:rsidR="00000000" w:rsidDel="00000000" w:rsidP="00000000" w:rsidRDefault="00000000" w:rsidRPr="00000000" w14:paraId="00000067">
                  <w:pPr>
                    <w:rPr>
                      <w:b w:val="1"/>
                      <w:bCs w:val="1"/>
                    </w:rPr>
                  </w:pPr>
                  <w:r w:rsidDel="00000000" w:rsidR="00000000" w:rsidRPr="00000000">
                    <w:rPr>
                      <w:b w:val="1"/>
                      <w:bCs w:val="1"/>
                      <w:rtl w:val="0"/>
                    </w:rPr>
                    <w:t xml:space="preserve">Tech Basket </w:t>
                  </w:r>
                </w:p>
              </w:tc>
              <w:tc>
                <w:tcPr/>
                <w:p w:rsidR="00000000" w:rsidDel="00000000" w:rsidP="00000000" w:rsidRDefault="00000000" w:rsidRPr="00000000" w14:paraId="00000068">
                  <w:pPr>
                    <w:rPr/>
                  </w:pPr>
                  <w:r w:rsidDel="00000000" w:rsidR="00000000" w:rsidRPr="00000000">
                    <w:rPr>
                      <w:rtl w:val="0"/>
                    </w:rPr>
                    <w:t xml:space="preserve">+3.12</w:t>
                  </w:r>
                </w:p>
              </w:tc>
              <w:tc>
                <w:tcPr/>
                <w:p w:rsidR="00000000" w:rsidDel="00000000" w:rsidP="00000000" w:rsidRDefault="00000000" w:rsidRPr="00000000" w14:paraId="00000069">
                  <w:pPr>
                    <w:rPr/>
                  </w:pPr>
                  <w:r w:rsidDel="00000000" w:rsidR="00000000" w:rsidRPr="00000000">
                    <w:rPr>
                      <w:rtl w:val="0"/>
                    </w:rPr>
                    <w:t xml:space="preserve">-</w:t>
                  </w:r>
                </w:p>
              </w:tc>
              <w:tc>
                <w:tcPr/>
                <w:p w:rsidR="00000000" w:rsidDel="00000000" w:rsidP="00000000" w:rsidRDefault="00000000" w:rsidRPr="00000000" w14:paraId="0000006A">
                  <w:pPr>
                    <w:rPr/>
                  </w:pPr>
                  <w:r w:rsidDel="00000000" w:rsidR="00000000" w:rsidRPr="00000000">
                    <w:rPr>
                      <w:rtl w:val="0"/>
                    </w:rPr>
                    <w:t xml:space="preserve">-</w:t>
                  </w:r>
                </w:p>
              </w:tc>
              <w:tc>
                <w:tcPr>
                  <w:tcBorders>
                    <w:right w:color="000000" w:space="0" w:sz="4" w:val="single"/>
                  </w:tcBorders>
                </w:tcPr>
                <w:p w:rsidR="00000000" w:rsidDel="00000000" w:rsidP="00000000" w:rsidRDefault="00000000" w:rsidRPr="00000000" w14:paraId="0000006B">
                  <w:pPr>
                    <w:rPr/>
                  </w:pPr>
                  <w:r w:rsidDel="00000000" w:rsidR="00000000" w:rsidRPr="00000000">
                    <w:rPr>
                      <w:rtl w:val="0"/>
                    </w:rPr>
                    <w:t xml:space="preserve">-</w:t>
                  </w:r>
                </w:p>
              </w:tc>
            </w:tr>
            <w:tr>
              <w:trPr>
                <w:cantSplit w:val="0"/>
                <w:tblHeader w:val="0"/>
              </w:trPr>
              <w:tc>
                <w:tcPr>
                  <w:tcBorders>
                    <w:left w:color="000000" w:space="0" w:sz="4" w:val="single"/>
                  </w:tcBorders>
                </w:tcPr>
                <w:p w:rsidR="00000000" w:rsidDel="00000000" w:rsidP="00000000" w:rsidRDefault="00000000" w:rsidRPr="00000000" w14:paraId="0000006C">
                  <w:pPr>
                    <w:rPr/>
                  </w:pPr>
                  <w:r w:rsidDel="00000000" w:rsidR="00000000" w:rsidRPr="00000000">
                    <w:rPr>
                      <w:rtl w:val="0"/>
                    </w:rPr>
                    <w:t xml:space="preserve">Liberation Day Tariffs</w:t>
                  </w:r>
                </w:p>
              </w:tc>
              <w:tc>
                <w:tcPr/>
                <w:p w:rsidR="00000000" w:rsidDel="00000000" w:rsidP="00000000" w:rsidRDefault="00000000" w:rsidRPr="00000000" w14:paraId="0000006D">
                  <w:pPr>
                    <w:rPr>
                      <w:b w:val="1"/>
                      <w:bCs w:val="1"/>
                    </w:rPr>
                  </w:pPr>
                  <w:r w:rsidDel="00000000" w:rsidR="00000000" w:rsidRPr="00000000">
                    <w:rPr>
                      <w:b w:val="1"/>
                      <w:bCs w:val="1"/>
                      <w:rtl w:val="0"/>
                    </w:rPr>
                    <w:t xml:space="preserve">S&amp;P 500 (raw return)</w:t>
                  </w:r>
                </w:p>
              </w:tc>
              <w:tc>
                <w:tcPr/>
                <w:p w:rsidR="00000000" w:rsidDel="00000000" w:rsidP="00000000" w:rsidRDefault="00000000" w:rsidRPr="00000000" w14:paraId="0000006E">
                  <w:pPr>
                    <w:rPr/>
                  </w:pPr>
                  <w:r w:rsidDel="00000000" w:rsidR="00000000" w:rsidRPr="00000000">
                    <w:rPr>
                      <w:rtl w:val="0"/>
                    </w:rPr>
                    <w:t xml:space="preserve">-4.92</w:t>
                  </w:r>
                </w:p>
              </w:tc>
              <w:tc>
                <w:tcPr/>
                <w:p w:rsidR="00000000" w:rsidDel="00000000" w:rsidP="00000000" w:rsidRDefault="00000000" w:rsidRPr="00000000" w14:paraId="0000006F">
                  <w:pPr>
                    <w:rPr/>
                  </w:pPr>
                  <w:r w:rsidDel="00000000" w:rsidR="00000000" w:rsidRPr="00000000">
                    <w:rPr>
                      <w:rtl w:val="0"/>
                    </w:rPr>
                    <w:t xml:space="preserve">-</w:t>
                  </w:r>
                </w:p>
              </w:tc>
              <w:tc>
                <w:tcPr/>
                <w:p w:rsidR="00000000" w:rsidDel="00000000" w:rsidP="00000000" w:rsidRDefault="00000000" w:rsidRPr="00000000" w14:paraId="00000070">
                  <w:pPr>
                    <w:rPr/>
                  </w:pPr>
                  <w:r w:rsidDel="00000000" w:rsidR="00000000" w:rsidRPr="00000000">
                    <w:rPr>
                      <w:rtl w:val="0"/>
                    </w:rPr>
                    <w:t xml:space="preserve">-</w:t>
                  </w:r>
                </w:p>
              </w:tc>
              <w:tc>
                <w:tcPr>
                  <w:tcBorders>
                    <w:right w:color="000000" w:space="0" w:sz="4" w:val="single"/>
                  </w:tcBorders>
                </w:tcPr>
                <w:p w:rsidR="00000000" w:rsidDel="00000000" w:rsidP="00000000" w:rsidRDefault="00000000" w:rsidRPr="00000000" w14:paraId="00000071">
                  <w:pPr>
                    <w:rPr/>
                  </w:pPr>
                  <w:r w:rsidDel="00000000" w:rsidR="00000000" w:rsidRPr="00000000">
                    <w:rPr>
                      <w:rtl w:val="0"/>
                    </w:rPr>
                    <w:t xml:space="preserve">-</w:t>
                  </w:r>
                </w:p>
              </w:tc>
            </w:tr>
            <w:tr>
              <w:trPr>
                <w:cantSplit w:val="0"/>
                <w:tblHeader w:val="0"/>
              </w:trPr>
              <w:tc>
                <w:tcPr>
                  <w:tcBorders>
                    <w:left w:color="000000" w:space="0" w:sz="4" w:val="single"/>
                  </w:tcBorders>
                </w:tcPr>
                <w:p w:rsidR="00000000" w:rsidDel="00000000" w:rsidP="00000000" w:rsidRDefault="00000000" w:rsidRPr="00000000" w14:paraId="00000072">
                  <w:pPr>
                    <w:rPr/>
                  </w:pPr>
                  <w:r w:rsidDel="00000000" w:rsidR="00000000" w:rsidRPr="00000000">
                    <w:rPr>
                      <w:rtl w:val="0"/>
                    </w:rPr>
                    <w:t xml:space="preserve">Chip Export Controls</w:t>
                  </w:r>
                </w:p>
              </w:tc>
              <w:tc>
                <w:tcPr/>
                <w:p w:rsidR="00000000" w:rsidDel="00000000" w:rsidP="00000000" w:rsidRDefault="00000000" w:rsidRPr="00000000" w14:paraId="00000073">
                  <w:pPr>
                    <w:rPr/>
                  </w:pPr>
                  <w:r w:rsidDel="00000000" w:rsidR="00000000" w:rsidRPr="00000000">
                    <w:rPr>
                      <w:rtl w:val="0"/>
                    </w:rPr>
                    <w:t xml:space="preserve">AAPL</w:t>
                  </w:r>
                </w:p>
              </w:tc>
              <w:tc>
                <w:tcPr/>
                <w:p w:rsidR="00000000" w:rsidDel="00000000" w:rsidP="00000000" w:rsidRDefault="00000000" w:rsidRPr="00000000" w14:paraId="00000074">
                  <w:pPr>
                    <w:rPr/>
                  </w:pPr>
                  <w:r w:rsidDel="00000000" w:rsidR="00000000" w:rsidRPr="00000000">
                    <w:rPr>
                      <w:rtl w:val="0"/>
                    </w:rPr>
                    <w:t xml:space="preserve">-2.17</w:t>
                  </w:r>
                </w:p>
              </w:tc>
              <w:tc>
                <w:tcPr/>
                <w:p w:rsidR="00000000" w:rsidDel="00000000" w:rsidP="00000000" w:rsidRDefault="00000000" w:rsidRPr="00000000" w14:paraId="00000075">
                  <w:pPr>
                    <w:rPr/>
                  </w:pPr>
                  <w:r w:rsidDel="00000000" w:rsidR="00000000" w:rsidRPr="00000000">
                    <w:rPr>
                      <w:rtl w:val="0"/>
                    </w:rPr>
                    <w:t xml:space="preserve">-0.666</w:t>
                  </w:r>
                </w:p>
              </w:tc>
              <w:tc>
                <w:tcPr/>
                <w:p w:rsidR="00000000" w:rsidDel="00000000" w:rsidP="00000000" w:rsidRDefault="00000000" w:rsidRPr="00000000" w14:paraId="00000076">
                  <w:pPr>
                    <w:rPr/>
                  </w:pPr>
                  <w:r w:rsidDel="00000000" w:rsidR="00000000" w:rsidRPr="00000000">
                    <w:rPr>
                      <w:rtl w:val="0"/>
                    </w:rPr>
                    <w:t xml:space="preserve">0.5052</w:t>
                  </w:r>
                </w:p>
              </w:tc>
              <w:tc>
                <w:tcPr>
                  <w:tcBorders>
                    <w:right w:color="000000" w:space="0" w:sz="4" w:val="single"/>
                  </w:tcBorders>
                </w:tcPr>
                <w:p w:rsidR="00000000" w:rsidDel="00000000" w:rsidP="00000000" w:rsidRDefault="00000000" w:rsidRPr="00000000" w14:paraId="00000077">
                  <w:pPr>
                    <w:rPr/>
                  </w:pPr>
                  <w:r w:rsidDel="00000000" w:rsidR="00000000" w:rsidRPr="00000000">
                    <w:rPr>
                      <w:rtl w:val="0"/>
                    </w:rPr>
                    <w:t xml:space="preserve">No</w:t>
                  </w:r>
                </w:p>
              </w:tc>
            </w:tr>
            <w:tr>
              <w:trPr>
                <w:cantSplit w:val="0"/>
                <w:tblHeader w:val="0"/>
              </w:trPr>
              <w:tc>
                <w:tcPr>
                  <w:tcBorders>
                    <w:left w:color="000000" w:space="0" w:sz="4" w:val="single"/>
                  </w:tcBorders>
                </w:tcPr>
                <w:p w:rsidR="00000000" w:rsidDel="00000000" w:rsidP="00000000" w:rsidRDefault="00000000" w:rsidRPr="00000000" w14:paraId="00000078">
                  <w:pPr>
                    <w:rPr/>
                  </w:pPr>
                  <w:r w:rsidDel="00000000" w:rsidR="00000000" w:rsidRPr="00000000">
                    <w:rPr>
                      <w:rtl w:val="0"/>
                    </w:rPr>
                    <w:t xml:space="preserve">Chip Export Controls</w:t>
                  </w:r>
                </w:p>
              </w:tc>
              <w:tc>
                <w:tcPr/>
                <w:p w:rsidR="00000000" w:rsidDel="00000000" w:rsidP="00000000" w:rsidRDefault="00000000" w:rsidRPr="00000000" w14:paraId="00000079">
                  <w:pPr>
                    <w:rPr/>
                  </w:pPr>
                  <w:r w:rsidDel="00000000" w:rsidR="00000000" w:rsidRPr="00000000">
                    <w:rPr>
                      <w:rtl w:val="0"/>
                    </w:rPr>
                    <w:t xml:space="preserve">MSFT</w:t>
                  </w:r>
                </w:p>
              </w:tc>
              <w:tc>
                <w:tcPr/>
                <w:p w:rsidR="00000000" w:rsidDel="00000000" w:rsidP="00000000" w:rsidRDefault="00000000" w:rsidRPr="00000000" w14:paraId="0000007A">
                  <w:pPr>
                    <w:rPr/>
                  </w:pPr>
                  <w:r w:rsidDel="00000000" w:rsidR="00000000" w:rsidRPr="00000000">
                    <w:rPr>
                      <w:rtl w:val="0"/>
                    </w:rPr>
                    <w:t xml:space="preserve">-2.27</w:t>
                  </w:r>
                </w:p>
              </w:tc>
              <w:tc>
                <w:tcPr/>
                <w:p w:rsidR="00000000" w:rsidDel="00000000" w:rsidP="00000000" w:rsidRDefault="00000000" w:rsidRPr="00000000" w14:paraId="0000007B">
                  <w:pPr>
                    <w:rPr/>
                  </w:pPr>
                  <w:r w:rsidDel="00000000" w:rsidR="00000000" w:rsidRPr="00000000">
                    <w:rPr>
                      <w:rtl w:val="0"/>
                    </w:rPr>
                    <w:t xml:space="preserve">-0.682</w:t>
                  </w:r>
                </w:p>
              </w:tc>
              <w:tc>
                <w:tcPr/>
                <w:p w:rsidR="00000000" w:rsidDel="00000000" w:rsidP="00000000" w:rsidRDefault="00000000" w:rsidRPr="00000000" w14:paraId="0000007C">
                  <w:pPr>
                    <w:rPr/>
                  </w:pPr>
                  <w:r w:rsidDel="00000000" w:rsidR="00000000" w:rsidRPr="00000000">
                    <w:rPr>
                      <w:rtl w:val="0"/>
                    </w:rPr>
                    <w:t xml:space="preserve">0.4954</w:t>
                  </w:r>
                </w:p>
              </w:tc>
              <w:tc>
                <w:tcPr>
                  <w:tcBorders>
                    <w:right w:color="000000" w:space="0" w:sz="4" w:val="single"/>
                  </w:tcBorders>
                </w:tcPr>
                <w:p w:rsidR="00000000" w:rsidDel="00000000" w:rsidP="00000000" w:rsidRDefault="00000000" w:rsidRPr="00000000" w14:paraId="0000007D">
                  <w:pPr>
                    <w:rPr/>
                  </w:pPr>
                  <w:r w:rsidDel="00000000" w:rsidR="00000000" w:rsidRPr="00000000">
                    <w:rPr>
                      <w:rtl w:val="0"/>
                    </w:rPr>
                    <w:t xml:space="preserve">No</w:t>
                  </w:r>
                </w:p>
              </w:tc>
            </w:tr>
            <w:tr>
              <w:trPr>
                <w:cantSplit w:val="0"/>
                <w:tblHeader w:val="0"/>
              </w:trPr>
              <w:tc>
                <w:tcPr>
                  <w:tcBorders>
                    <w:left w:color="000000" w:space="0" w:sz="4" w:val="single"/>
                  </w:tcBorders>
                </w:tcPr>
                <w:p w:rsidR="00000000" w:rsidDel="00000000" w:rsidP="00000000" w:rsidRDefault="00000000" w:rsidRPr="00000000" w14:paraId="0000007E">
                  <w:pPr>
                    <w:rPr/>
                  </w:pPr>
                  <w:r w:rsidDel="00000000" w:rsidR="00000000" w:rsidRPr="00000000">
                    <w:rPr>
                      <w:rtl w:val="0"/>
                    </w:rPr>
                    <w:t xml:space="preserve">Chip Export Controls</w:t>
                  </w:r>
                </w:p>
              </w:tc>
              <w:tc>
                <w:tcPr/>
                <w:p w:rsidR="00000000" w:rsidDel="00000000" w:rsidP="00000000" w:rsidRDefault="00000000" w:rsidRPr="00000000" w14:paraId="0000007F">
                  <w:pPr>
                    <w:rPr/>
                  </w:pPr>
                  <w:r w:rsidDel="00000000" w:rsidR="00000000" w:rsidRPr="00000000">
                    <w:rPr>
                      <w:rtl w:val="0"/>
                    </w:rPr>
                    <w:t xml:space="preserve">NVDA</w:t>
                  </w:r>
                </w:p>
              </w:tc>
              <w:tc>
                <w:tcPr/>
                <w:p w:rsidR="00000000" w:rsidDel="00000000" w:rsidP="00000000" w:rsidRDefault="00000000" w:rsidRPr="00000000" w14:paraId="00000080">
                  <w:pPr>
                    <w:rPr/>
                  </w:pPr>
                  <w:r w:rsidDel="00000000" w:rsidR="00000000" w:rsidRPr="00000000">
                    <w:rPr>
                      <w:rtl w:val="0"/>
                    </w:rPr>
                    <w:t xml:space="preserve">-3.32</w:t>
                  </w:r>
                </w:p>
              </w:tc>
              <w:tc>
                <w:tcPr/>
                <w:p w:rsidR="00000000" w:rsidDel="00000000" w:rsidP="00000000" w:rsidRDefault="00000000" w:rsidRPr="00000000" w14:paraId="00000081">
                  <w:pPr>
                    <w:rPr/>
                  </w:pPr>
                  <w:r w:rsidDel="00000000" w:rsidR="00000000" w:rsidRPr="00000000">
                    <w:rPr>
                      <w:rtl w:val="0"/>
                    </w:rPr>
                    <w:t xml:space="preserve">-0.455</w:t>
                  </w:r>
                </w:p>
              </w:tc>
              <w:tc>
                <w:tcPr/>
                <w:p w:rsidR="00000000" w:rsidDel="00000000" w:rsidP="00000000" w:rsidRDefault="00000000" w:rsidRPr="00000000" w14:paraId="00000082">
                  <w:pPr>
                    <w:rPr/>
                  </w:pPr>
                  <w:r w:rsidDel="00000000" w:rsidR="00000000" w:rsidRPr="00000000">
                    <w:rPr>
                      <w:rtl w:val="0"/>
                    </w:rPr>
                    <w:t xml:space="preserve">0.6494</w:t>
                  </w:r>
                </w:p>
              </w:tc>
              <w:tc>
                <w:tcPr>
                  <w:tcBorders>
                    <w:right w:color="000000" w:space="0" w:sz="4" w:val="single"/>
                  </w:tcBorders>
                </w:tcPr>
                <w:p w:rsidR="00000000" w:rsidDel="00000000" w:rsidP="00000000" w:rsidRDefault="00000000" w:rsidRPr="00000000" w14:paraId="00000083">
                  <w:pPr>
                    <w:rPr/>
                  </w:pPr>
                  <w:r w:rsidDel="00000000" w:rsidR="00000000" w:rsidRPr="00000000">
                    <w:rPr>
                      <w:rtl w:val="0"/>
                    </w:rPr>
                    <w:t xml:space="preserve">No</w:t>
                  </w:r>
                </w:p>
              </w:tc>
            </w:tr>
            <w:tr>
              <w:trPr>
                <w:cantSplit w:val="0"/>
                <w:tblHeader w:val="0"/>
              </w:trPr>
              <w:tc>
                <w:tcPr>
                  <w:tcBorders>
                    <w:left w:color="000000" w:space="0" w:sz="4" w:val="single"/>
                  </w:tcBorders>
                </w:tcPr>
                <w:p w:rsidR="00000000" w:rsidDel="00000000" w:rsidP="00000000" w:rsidRDefault="00000000" w:rsidRPr="00000000" w14:paraId="00000084">
                  <w:pPr>
                    <w:rPr/>
                  </w:pPr>
                  <w:r w:rsidDel="00000000" w:rsidR="00000000" w:rsidRPr="00000000">
                    <w:rPr>
                      <w:rtl w:val="0"/>
                    </w:rPr>
                    <w:t xml:space="preserve">Chip Export Controls</w:t>
                  </w:r>
                </w:p>
              </w:tc>
              <w:tc>
                <w:tcPr/>
                <w:p w:rsidR="00000000" w:rsidDel="00000000" w:rsidP="00000000" w:rsidRDefault="00000000" w:rsidRPr="00000000" w14:paraId="00000085">
                  <w:pPr>
                    <w:rPr>
                      <w:b w:val="1"/>
                      <w:bCs w:val="1"/>
                    </w:rPr>
                  </w:pPr>
                  <w:r w:rsidDel="00000000" w:rsidR="00000000" w:rsidRPr="00000000">
                    <w:rPr>
                      <w:b w:val="1"/>
                      <w:bCs w:val="1"/>
                      <w:rtl w:val="0"/>
                    </w:rPr>
                    <w:t xml:space="preserve">Tech Basket </w:t>
                  </w:r>
                </w:p>
              </w:tc>
              <w:tc>
                <w:tcPr/>
                <w:p w:rsidR="00000000" w:rsidDel="00000000" w:rsidP="00000000" w:rsidRDefault="00000000" w:rsidRPr="00000000" w14:paraId="00000086">
                  <w:pPr>
                    <w:rPr/>
                  </w:pPr>
                  <w:r w:rsidDel="00000000" w:rsidR="00000000" w:rsidRPr="00000000">
                    <w:rPr>
                      <w:rtl w:val="0"/>
                    </w:rPr>
                    <w:t xml:space="preserve">-2.59</w:t>
                  </w:r>
                </w:p>
              </w:tc>
              <w:tc>
                <w:tcPr/>
                <w:p w:rsidR="00000000" w:rsidDel="00000000" w:rsidP="00000000" w:rsidRDefault="00000000" w:rsidRPr="00000000" w14:paraId="00000087">
                  <w:pPr>
                    <w:rPr/>
                  </w:pPr>
                  <w:r w:rsidDel="00000000" w:rsidR="00000000" w:rsidRPr="00000000">
                    <w:rPr>
                      <w:rtl w:val="0"/>
                    </w:rPr>
                    <w:t xml:space="preserve">-</w:t>
                  </w:r>
                </w:p>
              </w:tc>
              <w:tc>
                <w:tcPr/>
                <w:p w:rsidR="00000000" w:rsidDel="00000000" w:rsidP="00000000" w:rsidRDefault="00000000" w:rsidRPr="00000000" w14:paraId="00000088">
                  <w:pPr>
                    <w:rPr/>
                  </w:pPr>
                  <w:r w:rsidDel="00000000" w:rsidR="00000000" w:rsidRPr="00000000">
                    <w:rPr>
                      <w:rtl w:val="0"/>
                    </w:rPr>
                    <w:t xml:space="preserve">-</w:t>
                  </w:r>
                </w:p>
              </w:tc>
              <w:tc>
                <w:tcPr>
                  <w:tcBorders>
                    <w:right w:color="000000" w:space="0" w:sz="4" w:val="single"/>
                  </w:tcBorders>
                </w:tcPr>
                <w:p w:rsidR="00000000" w:rsidDel="00000000" w:rsidP="00000000" w:rsidRDefault="00000000" w:rsidRPr="00000000" w14:paraId="00000089">
                  <w:pPr>
                    <w:rPr/>
                  </w:pPr>
                  <w:r w:rsidDel="00000000" w:rsidR="00000000" w:rsidRPr="00000000">
                    <w:rPr>
                      <w:rtl w:val="0"/>
                    </w:rPr>
                    <w:t xml:space="preserve">-</w:t>
                  </w:r>
                </w:p>
              </w:tc>
            </w:tr>
            <w:tr>
              <w:trPr>
                <w:cantSplit w:val="0"/>
                <w:tblHeader w:val="0"/>
              </w:trPr>
              <w:tc>
                <w:tcPr>
                  <w:tcBorders>
                    <w:left w:color="000000" w:space="0" w:sz="4" w:val="single"/>
                  </w:tcBorders>
                </w:tcPr>
                <w:p w:rsidR="00000000" w:rsidDel="00000000" w:rsidP="00000000" w:rsidRDefault="00000000" w:rsidRPr="00000000" w14:paraId="0000008A">
                  <w:pPr>
                    <w:rPr/>
                  </w:pPr>
                  <w:r w:rsidDel="00000000" w:rsidR="00000000" w:rsidRPr="00000000">
                    <w:rPr>
                      <w:rtl w:val="0"/>
                    </w:rPr>
                    <w:t xml:space="preserve">Chip Export Controls</w:t>
                  </w:r>
                </w:p>
              </w:tc>
              <w:tc>
                <w:tcPr/>
                <w:p w:rsidR="00000000" w:rsidDel="00000000" w:rsidP="00000000" w:rsidRDefault="00000000" w:rsidRPr="00000000" w14:paraId="0000008B">
                  <w:pPr>
                    <w:rPr>
                      <w:b w:val="1"/>
                      <w:bCs w:val="1"/>
                    </w:rPr>
                  </w:pPr>
                  <w:r w:rsidDel="00000000" w:rsidR="00000000" w:rsidRPr="00000000">
                    <w:rPr>
                      <w:b w:val="1"/>
                      <w:bCs w:val="1"/>
                      <w:rtl w:val="0"/>
                    </w:rPr>
                    <w:t xml:space="preserve">S&amp;P 500 (raw return)</w:t>
                  </w:r>
                </w:p>
              </w:tc>
              <w:tc>
                <w:tcPr/>
                <w:p w:rsidR="00000000" w:rsidDel="00000000" w:rsidP="00000000" w:rsidRDefault="00000000" w:rsidRPr="00000000" w14:paraId="0000008C">
                  <w:pPr>
                    <w:rPr/>
                  </w:pPr>
                  <w:r w:rsidDel="00000000" w:rsidR="00000000" w:rsidRPr="00000000">
                    <w:rPr>
                      <w:rtl w:val="0"/>
                    </w:rPr>
                    <w:t xml:space="preserve">-1.39</w:t>
                  </w:r>
                </w:p>
              </w:tc>
              <w:tc>
                <w:tcPr/>
                <w:p w:rsidR="00000000" w:rsidDel="00000000" w:rsidP="00000000" w:rsidRDefault="00000000" w:rsidRPr="00000000" w14:paraId="0000008D">
                  <w:pPr>
                    <w:rPr/>
                  </w:pPr>
                  <w:r w:rsidDel="00000000" w:rsidR="00000000" w:rsidRPr="00000000">
                    <w:rPr>
                      <w:rtl w:val="0"/>
                    </w:rPr>
                    <w:t xml:space="preserve">-</w:t>
                  </w:r>
                </w:p>
              </w:tc>
              <w:tc>
                <w:tcPr/>
                <w:p w:rsidR="00000000" w:rsidDel="00000000" w:rsidP="00000000" w:rsidRDefault="00000000" w:rsidRPr="00000000" w14:paraId="0000008E">
                  <w:pPr>
                    <w:rPr/>
                  </w:pPr>
                  <w:r w:rsidDel="00000000" w:rsidR="00000000" w:rsidRPr="00000000">
                    <w:rPr>
                      <w:rtl w:val="0"/>
                    </w:rPr>
                    <w:t xml:space="preserve">-</w:t>
                  </w:r>
                </w:p>
              </w:tc>
              <w:tc>
                <w:tcPr>
                  <w:tcBorders>
                    <w:right w:color="000000" w:space="0" w:sz="4" w:val="single"/>
                  </w:tcBorders>
                </w:tcPr>
                <w:p w:rsidR="00000000" w:rsidDel="00000000" w:rsidP="00000000" w:rsidRDefault="00000000" w:rsidRPr="00000000" w14:paraId="0000008F">
                  <w:pPr>
                    <w:rPr/>
                  </w:pPr>
                  <w:r w:rsidDel="00000000" w:rsidR="00000000" w:rsidRPr="00000000">
                    <w:rPr>
                      <w:rtl w:val="0"/>
                    </w:rPr>
                    <w:t xml:space="preserve">-</w:t>
                  </w:r>
                </w:p>
              </w:tc>
            </w:tr>
            <w:tr>
              <w:trPr>
                <w:cantSplit w:val="0"/>
                <w:tblHeader w:val="0"/>
              </w:trPr>
              <w:tc>
                <w:tcPr>
                  <w:tcBorders>
                    <w:left w:color="000000" w:space="0" w:sz="4" w:val="single"/>
                  </w:tcBorders>
                </w:tcPr>
                <w:p w:rsidR="00000000" w:rsidDel="00000000" w:rsidP="00000000" w:rsidRDefault="00000000" w:rsidRPr="00000000" w14:paraId="00000090">
                  <w:pPr>
                    <w:rPr/>
                  </w:pPr>
                  <w:r w:rsidDel="00000000" w:rsidR="00000000" w:rsidRPr="00000000">
                    <w:rPr>
                      <w:rtl w:val="0"/>
                    </w:rPr>
                    <w:t xml:space="preserve">EU DMA Compliance</w:t>
                  </w:r>
                </w:p>
              </w:tc>
              <w:tc>
                <w:tcPr/>
                <w:p w:rsidR="00000000" w:rsidDel="00000000" w:rsidP="00000000" w:rsidRDefault="00000000" w:rsidRPr="00000000" w14:paraId="00000091">
                  <w:pPr>
                    <w:rPr/>
                  </w:pPr>
                  <w:r w:rsidDel="00000000" w:rsidR="00000000" w:rsidRPr="00000000">
                    <w:rPr>
                      <w:rtl w:val="0"/>
                    </w:rPr>
                    <w:t xml:space="preserve">AAPL</w:t>
                  </w:r>
                </w:p>
              </w:tc>
              <w:tc>
                <w:tcPr/>
                <w:p w:rsidR="00000000" w:rsidDel="00000000" w:rsidP="00000000" w:rsidRDefault="00000000" w:rsidRPr="00000000" w14:paraId="00000092">
                  <w:pPr>
                    <w:rPr/>
                  </w:pPr>
                  <w:r w:rsidDel="00000000" w:rsidR="00000000" w:rsidRPr="00000000">
                    <w:rPr>
                      <w:rtl w:val="0"/>
                    </w:rPr>
                    <w:t xml:space="preserve">-7.36</w:t>
                  </w:r>
                </w:p>
              </w:tc>
              <w:tc>
                <w:tcPr/>
                <w:p w:rsidR="00000000" w:rsidDel="00000000" w:rsidP="00000000" w:rsidRDefault="00000000" w:rsidRPr="00000000" w14:paraId="00000093">
                  <w:pPr>
                    <w:rPr/>
                  </w:pPr>
                  <w:r w:rsidDel="00000000" w:rsidR="00000000" w:rsidRPr="00000000">
                    <w:rPr>
                      <w:rtl w:val="0"/>
                    </w:rPr>
                    <w:t xml:space="preserve">-2.613</w:t>
                  </w:r>
                </w:p>
              </w:tc>
              <w:tc>
                <w:tcPr/>
                <w:p w:rsidR="00000000" w:rsidDel="00000000" w:rsidP="00000000" w:rsidRDefault="00000000" w:rsidRPr="00000000" w14:paraId="00000094">
                  <w:pPr>
                    <w:rPr/>
                  </w:pPr>
                  <w:r w:rsidDel="00000000" w:rsidR="00000000" w:rsidRPr="00000000">
                    <w:rPr>
                      <w:rtl w:val="0"/>
                    </w:rPr>
                    <w:t xml:space="preserve">0.009</w:t>
                  </w:r>
                </w:p>
              </w:tc>
              <w:tc>
                <w:tcPr>
                  <w:tcBorders>
                    <w:right w:color="000000" w:space="0" w:sz="4" w:val="single"/>
                  </w:tcBorders>
                </w:tcPr>
                <w:p w:rsidR="00000000" w:rsidDel="00000000" w:rsidP="00000000" w:rsidRDefault="00000000" w:rsidRPr="00000000" w14:paraId="00000095">
                  <w:pPr>
                    <w:rPr/>
                  </w:pPr>
                  <w:r w:rsidDel="00000000" w:rsidR="00000000" w:rsidRPr="00000000">
                    <w:rPr>
                      <w:b w:val="1"/>
                      <w:bCs w:val="1"/>
                      <w:rtl w:val="0"/>
                    </w:rPr>
                    <w:t xml:space="preserve">Yes</w:t>
                  </w:r>
                  <w:r w:rsidDel="00000000" w:rsidR="00000000" w:rsidRPr="00000000">
                    <w:rPr>
                      <w:rtl w:val="0"/>
                    </w:rPr>
                  </w:r>
                </w:p>
              </w:tc>
            </w:tr>
            <w:tr>
              <w:trPr>
                <w:cantSplit w:val="0"/>
                <w:tblHeader w:val="0"/>
              </w:trPr>
              <w:tc>
                <w:tcPr>
                  <w:tcBorders>
                    <w:left w:color="000000" w:space="0" w:sz="4" w:val="single"/>
                  </w:tcBorders>
                </w:tcPr>
                <w:p w:rsidR="00000000" w:rsidDel="00000000" w:rsidP="00000000" w:rsidRDefault="00000000" w:rsidRPr="00000000" w14:paraId="00000096">
                  <w:pPr>
                    <w:rPr/>
                  </w:pPr>
                  <w:r w:rsidDel="00000000" w:rsidR="00000000" w:rsidRPr="00000000">
                    <w:rPr>
                      <w:rtl w:val="0"/>
                    </w:rPr>
                    <w:t xml:space="preserve">EU DMA Compliance</w:t>
                  </w:r>
                </w:p>
              </w:tc>
              <w:tc>
                <w:tcPr/>
                <w:p w:rsidR="00000000" w:rsidDel="00000000" w:rsidP="00000000" w:rsidRDefault="00000000" w:rsidRPr="00000000" w14:paraId="00000097">
                  <w:pPr>
                    <w:rPr/>
                  </w:pPr>
                  <w:r w:rsidDel="00000000" w:rsidR="00000000" w:rsidRPr="00000000">
                    <w:rPr>
                      <w:rtl w:val="0"/>
                    </w:rPr>
                    <w:t xml:space="preserve">MSFT</w:t>
                  </w:r>
                </w:p>
              </w:tc>
              <w:tc>
                <w:tcPr/>
                <w:p w:rsidR="00000000" w:rsidDel="00000000" w:rsidP="00000000" w:rsidRDefault="00000000" w:rsidRPr="00000000" w14:paraId="00000098">
                  <w:pPr>
                    <w:rPr/>
                  </w:pPr>
                  <w:r w:rsidDel="00000000" w:rsidR="00000000" w:rsidRPr="00000000">
                    <w:rPr>
                      <w:rtl w:val="0"/>
                    </w:rPr>
                    <w:t xml:space="preserve">-0.73</w:t>
                  </w:r>
                </w:p>
              </w:tc>
              <w:tc>
                <w:tcPr/>
                <w:p w:rsidR="00000000" w:rsidDel="00000000" w:rsidP="00000000" w:rsidRDefault="00000000" w:rsidRPr="00000000" w14:paraId="00000099">
                  <w:pPr>
                    <w:rPr/>
                  </w:pPr>
                  <w:r w:rsidDel="00000000" w:rsidR="00000000" w:rsidRPr="00000000">
                    <w:rPr>
                      <w:rtl w:val="0"/>
                    </w:rPr>
                    <w:t xml:space="preserve">-0.223</w:t>
                  </w:r>
                </w:p>
              </w:tc>
              <w:tc>
                <w:tcPr/>
                <w:p w:rsidR="00000000" w:rsidDel="00000000" w:rsidP="00000000" w:rsidRDefault="00000000" w:rsidRPr="00000000" w14:paraId="0000009A">
                  <w:pPr>
                    <w:rPr/>
                  </w:pPr>
                  <w:r w:rsidDel="00000000" w:rsidR="00000000" w:rsidRPr="00000000">
                    <w:rPr>
                      <w:rtl w:val="0"/>
                    </w:rPr>
                    <w:t xml:space="preserve">0.8238</w:t>
                  </w:r>
                </w:p>
              </w:tc>
              <w:tc>
                <w:tcPr>
                  <w:tcBorders>
                    <w:right w:color="000000" w:space="0" w:sz="4" w:val="single"/>
                  </w:tcBorders>
                </w:tcPr>
                <w:p w:rsidR="00000000" w:rsidDel="00000000" w:rsidP="00000000" w:rsidRDefault="00000000" w:rsidRPr="00000000" w14:paraId="0000009B">
                  <w:pPr>
                    <w:rPr/>
                  </w:pPr>
                  <w:r w:rsidDel="00000000" w:rsidR="00000000" w:rsidRPr="00000000">
                    <w:rPr>
                      <w:rtl w:val="0"/>
                    </w:rPr>
                    <w:t xml:space="preserve">No</w:t>
                  </w:r>
                </w:p>
              </w:tc>
            </w:tr>
            <w:tr>
              <w:trPr>
                <w:cantSplit w:val="0"/>
                <w:tblHeader w:val="0"/>
              </w:trPr>
              <w:tc>
                <w:tcPr>
                  <w:tcBorders>
                    <w:left w:color="000000" w:space="0" w:sz="4" w:val="single"/>
                  </w:tcBorders>
                </w:tcPr>
                <w:p w:rsidR="00000000" w:rsidDel="00000000" w:rsidP="00000000" w:rsidRDefault="00000000" w:rsidRPr="00000000" w14:paraId="0000009C">
                  <w:pPr>
                    <w:rPr/>
                  </w:pPr>
                  <w:r w:rsidDel="00000000" w:rsidR="00000000" w:rsidRPr="00000000">
                    <w:rPr>
                      <w:rtl w:val="0"/>
                    </w:rPr>
                    <w:t xml:space="preserve">EU DMA Compliance</w:t>
                  </w:r>
                </w:p>
              </w:tc>
              <w:tc>
                <w:tcPr/>
                <w:p w:rsidR="00000000" w:rsidDel="00000000" w:rsidP="00000000" w:rsidRDefault="00000000" w:rsidRPr="00000000" w14:paraId="0000009D">
                  <w:pPr>
                    <w:rPr/>
                  </w:pPr>
                  <w:r w:rsidDel="00000000" w:rsidR="00000000" w:rsidRPr="00000000">
                    <w:rPr>
                      <w:rtl w:val="0"/>
                    </w:rPr>
                    <w:t xml:space="preserve">NVDA</w:t>
                  </w:r>
                </w:p>
              </w:tc>
              <w:tc>
                <w:tcPr/>
                <w:p w:rsidR="00000000" w:rsidDel="00000000" w:rsidP="00000000" w:rsidRDefault="00000000" w:rsidRPr="00000000" w14:paraId="0000009E">
                  <w:pPr>
                    <w:rPr/>
                  </w:pPr>
                  <w:r w:rsidDel="00000000" w:rsidR="00000000" w:rsidRPr="00000000">
                    <w:rPr>
                      <w:rtl w:val="0"/>
                    </w:rPr>
                    <w:t xml:space="preserve">+9.42</w:t>
                  </w:r>
                </w:p>
              </w:tc>
              <w:tc>
                <w:tcPr/>
                <w:p w:rsidR="00000000" w:rsidDel="00000000" w:rsidP="00000000" w:rsidRDefault="00000000" w:rsidRPr="00000000" w14:paraId="0000009F">
                  <w:pPr>
                    <w:rPr/>
                  </w:pPr>
                  <w:r w:rsidDel="00000000" w:rsidR="00000000" w:rsidRPr="00000000">
                    <w:rPr>
                      <w:rtl w:val="0"/>
                    </w:rPr>
                    <w:t xml:space="preserve">1.664</w:t>
                  </w:r>
                </w:p>
              </w:tc>
              <w:tc>
                <w:tcPr/>
                <w:p w:rsidR="00000000" w:rsidDel="00000000" w:rsidP="00000000" w:rsidRDefault="00000000" w:rsidRPr="00000000" w14:paraId="000000A0">
                  <w:pPr>
                    <w:rPr/>
                  </w:pPr>
                  <w:r w:rsidDel="00000000" w:rsidR="00000000" w:rsidRPr="00000000">
                    <w:rPr>
                      <w:rtl w:val="0"/>
                    </w:rPr>
                    <w:t xml:space="preserve">0.0961</w:t>
                  </w:r>
                </w:p>
              </w:tc>
              <w:tc>
                <w:tcPr>
                  <w:tcBorders>
                    <w:right w:color="000000" w:space="0" w:sz="4" w:val="single"/>
                  </w:tcBorders>
                </w:tcPr>
                <w:p w:rsidR="00000000" w:rsidDel="00000000" w:rsidP="00000000" w:rsidRDefault="00000000" w:rsidRPr="00000000" w14:paraId="000000A1">
                  <w:pPr>
                    <w:rPr/>
                  </w:pPr>
                  <w:r w:rsidDel="00000000" w:rsidR="00000000" w:rsidRPr="00000000">
                    <w:rPr>
                      <w:rtl w:val="0"/>
                    </w:rPr>
                    <w:t xml:space="preserve">No</w:t>
                  </w:r>
                </w:p>
              </w:tc>
            </w:tr>
            <w:tr>
              <w:trPr>
                <w:cantSplit w:val="0"/>
                <w:tblHeader w:val="0"/>
              </w:trPr>
              <w:tc>
                <w:tcPr>
                  <w:tcBorders>
                    <w:left w:color="000000" w:space="0" w:sz="4" w:val="single"/>
                  </w:tcBorders>
                </w:tcPr>
                <w:p w:rsidR="00000000" w:rsidDel="00000000" w:rsidP="00000000" w:rsidRDefault="00000000" w:rsidRPr="00000000" w14:paraId="000000A2">
                  <w:pPr>
                    <w:rPr/>
                  </w:pPr>
                  <w:r w:rsidDel="00000000" w:rsidR="00000000" w:rsidRPr="00000000">
                    <w:rPr>
                      <w:rtl w:val="0"/>
                    </w:rPr>
                    <w:t xml:space="preserve">EU DMA Compliance</w:t>
                  </w:r>
                </w:p>
              </w:tc>
              <w:tc>
                <w:tcPr/>
                <w:p w:rsidR="00000000" w:rsidDel="00000000" w:rsidP="00000000" w:rsidRDefault="00000000" w:rsidRPr="00000000" w14:paraId="000000A3">
                  <w:pPr>
                    <w:rPr>
                      <w:b w:val="1"/>
                      <w:bCs w:val="1"/>
                    </w:rPr>
                  </w:pPr>
                  <w:r w:rsidDel="00000000" w:rsidR="00000000" w:rsidRPr="00000000">
                    <w:rPr>
                      <w:b w:val="1"/>
                      <w:bCs w:val="1"/>
                      <w:rtl w:val="0"/>
                    </w:rPr>
                    <w:t xml:space="preserve">Tech Basket </w:t>
                  </w:r>
                </w:p>
              </w:tc>
              <w:tc>
                <w:tcPr/>
                <w:p w:rsidR="00000000" w:rsidDel="00000000" w:rsidP="00000000" w:rsidRDefault="00000000" w:rsidRPr="00000000" w14:paraId="000000A4">
                  <w:pPr>
                    <w:rPr/>
                  </w:pPr>
                  <w:r w:rsidDel="00000000" w:rsidR="00000000" w:rsidRPr="00000000">
                    <w:rPr>
                      <w:rtl w:val="0"/>
                    </w:rPr>
                    <w:t xml:space="preserve">+0.44</w:t>
                  </w:r>
                </w:p>
              </w:tc>
              <w:tc>
                <w:tcPr/>
                <w:p w:rsidR="00000000" w:rsidDel="00000000" w:rsidP="00000000" w:rsidRDefault="00000000" w:rsidRPr="00000000" w14:paraId="000000A5">
                  <w:pPr>
                    <w:rPr/>
                  </w:pPr>
                  <w:r w:rsidDel="00000000" w:rsidR="00000000" w:rsidRPr="00000000">
                    <w:rPr>
                      <w:rtl w:val="0"/>
                    </w:rPr>
                    <w:t xml:space="preserve">-</w:t>
                  </w:r>
                </w:p>
              </w:tc>
              <w:tc>
                <w:tcPr/>
                <w:p w:rsidR="00000000" w:rsidDel="00000000" w:rsidP="00000000" w:rsidRDefault="00000000" w:rsidRPr="00000000" w14:paraId="000000A6">
                  <w:pPr>
                    <w:rPr/>
                  </w:pPr>
                  <w:r w:rsidDel="00000000" w:rsidR="00000000" w:rsidRPr="00000000">
                    <w:rPr>
                      <w:rtl w:val="0"/>
                    </w:rPr>
                    <w:t xml:space="preserve">-</w:t>
                  </w:r>
                </w:p>
              </w:tc>
              <w:tc>
                <w:tcPr>
                  <w:tcBorders>
                    <w:right w:color="000000" w:space="0" w:sz="4" w:val="single"/>
                  </w:tcBorders>
                </w:tcPr>
                <w:p w:rsidR="00000000" w:rsidDel="00000000" w:rsidP="00000000" w:rsidRDefault="00000000" w:rsidRPr="00000000" w14:paraId="000000A7">
                  <w:pPr>
                    <w:rPr/>
                  </w:pPr>
                  <w:r w:rsidDel="00000000" w:rsidR="00000000" w:rsidRPr="00000000">
                    <w:rPr>
                      <w:rtl w:val="0"/>
                    </w:rPr>
                    <w:t xml:space="preserve">-</w:t>
                  </w:r>
                </w:p>
              </w:tc>
            </w:tr>
            <w:tr>
              <w:trPr>
                <w:cantSplit w:val="0"/>
                <w:tblHeader w:val="0"/>
              </w:trPr>
              <w:tc>
                <w:tcPr>
                  <w:tcBorders>
                    <w:left w:color="000000" w:space="0" w:sz="4" w:val="single"/>
                  </w:tcBorders>
                </w:tcPr>
                <w:p w:rsidR="00000000" w:rsidDel="00000000" w:rsidP="00000000" w:rsidRDefault="00000000" w:rsidRPr="00000000" w14:paraId="000000A8">
                  <w:pPr>
                    <w:rPr/>
                  </w:pPr>
                  <w:r w:rsidDel="00000000" w:rsidR="00000000" w:rsidRPr="00000000">
                    <w:rPr>
                      <w:rtl w:val="0"/>
                    </w:rPr>
                    <w:t xml:space="preserve">EU DMA Compliance</w:t>
                  </w:r>
                </w:p>
              </w:tc>
              <w:tc>
                <w:tcPr/>
                <w:p w:rsidR="00000000" w:rsidDel="00000000" w:rsidP="00000000" w:rsidRDefault="00000000" w:rsidRPr="00000000" w14:paraId="000000A9">
                  <w:pPr>
                    <w:rPr>
                      <w:b w:val="1"/>
                      <w:bCs w:val="1"/>
                    </w:rPr>
                  </w:pPr>
                  <w:r w:rsidDel="00000000" w:rsidR="00000000" w:rsidRPr="00000000">
                    <w:rPr>
                      <w:b w:val="1"/>
                      <w:bCs w:val="1"/>
                      <w:rtl w:val="0"/>
                    </w:rPr>
                    <w:t xml:space="preserve">S&amp;P 500 (raw return)</w:t>
                  </w:r>
                </w:p>
              </w:tc>
              <w:tc>
                <w:tcPr/>
                <w:p w:rsidR="00000000" w:rsidDel="00000000" w:rsidP="00000000" w:rsidRDefault="00000000" w:rsidRPr="00000000" w14:paraId="000000AA">
                  <w:pPr>
                    <w:rPr/>
                  </w:pPr>
                  <w:r w:rsidDel="00000000" w:rsidR="00000000" w:rsidRPr="00000000">
                    <w:rPr>
                      <w:rtl w:val="0"/>
                    </w:rPr>
                    <w:t xml:space="preserve">+1.73</w:t>
                  </w:r>
                </w:p>
              </w:tc>
              <w:tc>
                <w:tcPr/>
                <w:p w:rsidR="00000000" w:rsidDel="00000000" w:rsidP="00000000" w:rsidRDefault="00000000" w:rsidRPr="00000000" w14:paraId="000000AB">
                  <w:pPr>
                    <w:rPr/>
                  </w:pPr>
                  <w:r w:rsidDel="00000000" w:rsidR="00000000" w:rsidRPr="00000000">
                    <w:rPr>
                      <w:rtl w:val="0"/>
                    </w:rPr>
                    <w:t xml:space="preserve">-</w:t>
                  </w:r>
                </w:p>
              </w:tc>
              <w:tc>
                <w:tcPr/>
                <w:p w:rsidR="00000000" w:rsidDel="00000000" w:rsidP="00000000" w:rsidRDefault="00000000" w:rsidRPr="00000000" w14:paraId="000000AC">
                  <w:pPr>
                    <w:rPr/>
                  </w:pPr>
                  <w:r w:rsidDel="00000000" w:rsidR="00000000" w:rsidRPr="00000000">
                    <w:rPr>
                      <w:rtl w:val="0"/>
                    </w:rPr>
                    <w:t xml:space="preserve">-</w:t>
                  </w:r>
                </w:p>
              </w:tc>
              <w:tc>
                <w:tcPr>
                  <w:tcBorders>
                    <w:right w:color="000000" w:space="0" w:sz="4" w:val="single"/>
                  </w:tcBorders>
                </w:tcPr>
                <w:p w:rsidR="00000000" w:rsidDel="00000000" w:rsidP="00000000" w:rsidRDefault="00000000" w:rsidRPr="00000000" w14:paraId="000000AD">
                  <w:pPr>
                    <w:rPr/>
                  </w:pPr>
                  <w:r w:rsidDel="00000000" w:rsidR="00000000" w:rsidRPr="00000000">
                    <w:rPr>
                      <w:rtl w:val="0"/>
                    </w:rPr>
                    <w:t xml:space="preserve">-</w:t>
                  </w:r>
                </w:p>
              </w:tc>
            </w:tr>
            <w:tr>
              <w:trPr>
                <w:cantSplit w:val="0"/>
                <w:tblHeader w:val="0"/>
              </w:trPr>
              <w:tc>
                <w:tcPr>
                  <w:tcBorders>
                    <w:left w:color="000000" w:space="0" w:sz="4" w:val="single"/>
                  </w:tcBorders>
                </w:tcPr>
                <w:p w:rsidR="00000000" w:rsidDel="00000000" w:rsidP="00000000" w:rsidRDefault="00000000" w:rsidRPr="00000000" w14:paraId="000000AE">
                  <w:pPr>
                    <w:rPr/>
                  </w:pPr>
                  <w:r w:rsidDel="00000000" w:rsidR="00000000" w:rsidRPr="00000000">
                    <w:rPr>
                      <w:rtl w:val="0"/>
                    </w:rPr>
                    <w:t xml:space="preserve">CHIPS Act Signed</w:t>
                  </w:r>
                </w:p>
              </w:tc>
              <w:tc>
                <w:tcPr/>
                <w:p w:rsidR="00000000" w:rsidDel="00000000" w:rsidP="00000000" w:rsidRDefault="00000000" w:rsidRPr="00000000" w14:paraId="000000AF">
                  <w:pPr>
                    <w:rPr/>
                  </w:pPr>
                  <w:r w:rsidDel="00000000" w:rsidR="00000000" w:rsidRPr="00000000">
                    <w:rPr>
                      <w:rtl w:val="0"/>
                    </w:rPr>
                    <w:t xml:space="preserve">AAPL</w:t>
                  </w:r>
                </w:p>
              </w:tc>
              <w:tc>
                <w:tcPr/>
                <w:p w:rsidR="00000000" w:rsidDel="00000000" w:rsidP="00000000" w:rsidRDefault="00000000" w:rsidRPr="00000000" w14:paraId="000000B0">
                  <w:pPr>
                    <w:rPr/>
                  </w:pPr>
                  <w:r w:rsidDel="00000000" w:rsidR="00000000" w:rsidRPr="00000000">
                    <w:rPr>
                      <w:rtl w:val="0"/>
                    </w:rPr>
                    <w:t xml:space="preserve">+1.04</w:t>
                  </w:r>
                </w:p>
              </w:tc>
              <w:tc>
                <w:tcPr/>
                <w:p w:rsidR="00000000" w:rsidDel="00000000" w:rsidP="00000000" w:rsidRDefault="00000000" w:rsidRPr="00000000" w14:paraId="000000B1">
                  <w:pPr>
                    <w:rPr/>
                  </w:pPr>
                  <w:r w:rsidDel="00000000" w:rsidR="00000000" w:rsidRPr="00000000">
                    <w:rPr>
                      <w:rtl w:val="0"/>
                    </w:rPr>
                    <w:t xml:space="preserve">0.325</w:t>
                  </w:r>
                </w:p>
              </w:tc>
              <w:tc>
                <w:tcPr/>
                <w:p w:rsidR="00000000" w:rsidDel="00000000" w:rsidP="00000000" w:rsidRDefault="00000000" w:rsidRPr="00000000" w14:paraId="000000B2">
                  <w:pPr>
                    <w:rPr/>
                  </w:pPr>
                  <w:r w:rsidDel="00000000" w:rsidR="00000000" w:rsidRPr="00000000">
                    <w:rPr>
                      <w:rtl w:val="0"/>
                    </w:rPr>
                    <w:t xml:space="preserve">0.7453</w:t>
                  </w:r>
                </w:p>
              </w:tc>
              <w:tc>
                <w:tcPr>
                  <w:tcBorders>
                    <w:right w:color="000000" w:space="0" w:sz="4" w:val="single"/>
                  </w:tcBorders>
                </w:tcPr>
                <w:p w:rsidR="00000000" w:rsidDel="00000000" w:rsidP="00000000" w:rsidRDefault="00000000" w:rsidRPr="00000000" w14:paraId="000000B3">
                  <w:pPr>
                    <w:rPr/>
                  </w:pPr>
                  <w:r w:rsidDel="00000000" w:rsidR="00000000" w:rsidRPr="00000000">
                    <w:rPr>
                      <w:rtl w:val="0"/>
                    </w:rPr>
                    <w:t xml:space="preserve">No</w:t>
                  </w:r>
                </w:p>
              </w:tc>
            </w:tr>
            <w:tr>
              <w:trPr>
                <w:cantSplit w:val="0"/>
                <w:tblHeader w:val="0"/>
              </w:trPr>
              <w:tc>
                <w:tcPr>
                  <w:tcBorders>
                    <w:left w:color="000000" w:space="0" w:sz="4" w:val="single"/>
                  </w:tcBorders>
                </w:tcPr>
                <w:p w:rsidR="00000000" w:rsidDel="00000000" w:rsidP="00000000" w:rsidRDefault="00000000" w:rsidRPr="00000000" w14:paraId="000000B4">
                  <w:pPr>
                    <w:rPr/>
                  </w:pPr>
                  <w:r w:rsidDel="00000000" w:rsidR="00000000" w:rsidRPr="00000000">
                    <w:rPr>
                      <w:rtl w:val="0"/>
                    </w:rPr>
                    <w:t xml:space="preserve">CHIPS Act Signed</w:t>
                  </w:r>
                </w:p>
              </w:tc>
              <w:tc>
                <w:tcPr/>
                <w:p w:rsidR="00000000" w:rsidDel="00000000" w:rsidP="00000000" w:rsidRDefault="00000000" w:rsidRPr="00000000" w14:paraId="000000B5">
                  <w:pPr>
                    <w:rPr/>
                  </w:pPr>
                  <w:r w:rsidDel="00000000" w:rsidR="00000000" w:rsidRPr="00000000">
                    <w:rPr>
                      <w:rtl w:val="0"/>
                    </w:rPr>
                    <w:t xml:space="preserve">MSFT</w:t>
                  </w:r>
                </w:p>
              </w:tc>
              <w:tc>
                <w:tcPr/>
                <w:p w:rsidR="00000000" w:rsidDel="00000000" w:rsidP="00000000" w:rsidRDefault="00000000" w:rsidRPr="00000000" w14:paraId="000000B6">
                  <w:pPr>
                    <w:rPr/>
                  </w:pPr>
                  <w:r w:rsidDel="00000000" w:rsidR="00000000" w:rsidRPr="00000000">
                    <w:rPr>
                      <w:rtl w:val="0"/>
                    </w:rPr>
                    <w:t xml:space="preserve">-0.20</w:t>
                  </w:r>
                </w:p>
              </w:tc>
              <w:tc>
                <w:tcPr/>
                <w:p w:rsidR="00000000" w:rsidDel="00000000" w:rsidP="00000000" w:rsidRDefault="00000000" w:rsidRPr="00000000" w14:paraId="000000B7">
                  <w:pPr>
                    <w:rPr/>
                  </w:pPr>
                  <w:r w:rsidDel="00000000" w:rsidR="00000000" w:rsidRPr="00000000">
                    <w:rPr>
                      <w:rtl w:val="0"/>
                    </w:rPr>
                    <w:t xml:space="preserve">-0.058</w:t>
                  </w:r>
                </w:p>
              </w:tc>
              <w:tc>
                <w:tcPr/>
                <w:p w:rsidR="00000000" w:rsidDel="00000000" w:rsidP="00000000" w:rsidRDefault="00000000" w:rsidRPr="00000000" w14:paraId="000000B8">
                  <w:pPr>
                    <w:rPr/>
                  </w:pPr>
                  <w:r w:rsidDel="00000000" w:rsidR="00000000" w:rsidRPr="00000000">
                    <w:rPr>
                      <w:rtl w:val="0"/>
                    </w:rPr>
                    <w:t xml:space="preserve">0.9540</w:t>
                  </w:r>
                </w:p>
              </w:tc>
              <w:tc>
                <w:tcPr>
                  <w:tcBorders>
                    <w:right w:color="000000" w:space="0" w:sz="4" w:val="single"/>
                  </w:tcBorders>
                </w:tcPr>
                <w:p w:rsidR="00000000" w:rsidDel="00000000" w:rsidP="00000000" w:rsidRDefault="00000000" w:rsidRPr="00000000" w14:paraId="000000B9">
                  <w:pPr>
                    <w:rPr/>
                  </w:pPr>
                  <w:r w:rsidDel="00000000" w:rsidR="00000000" w:rsidRPr="00000000">
                    <w:rPr>
                      <w:rtl w:val="0"/>
                    </w:rPr>
                    <w:t xml:space="preserve">No</w:t>
                  </w:r>
                </w:p>
              </w:tc>
            </w:tr>
            <w:tr>
              <w:trPr>
                <w:cantSplit w:val="0"/>
                <w:tblHeader w:val="0"/>
              </w:trPr>
              <w:tc>
                <w:tcPr>
                  <w:tcBorders>
                    <w:left w:color="000000" w:space="0" w:sz="4" w:val="single"/>
                  </w:tcBorders>
                </w:tcPr>
                <w:p w:rsidR="00000000" w:rsidDel="00000000" w:rsidP="00000000" w:rsidRDefault="00000000" w:rsidRPr="00000000" w14:paraId="000000BA">
                  <w:pPr>
                    <w:rPr/>
                  </w:pPr>
                  <w:r w:rsidDel="00000000" w:rsidR="00000000" w:rsidRPr="00000000">
                    <w:rPr>
                      <w:rtl w:val="0"/>
                    </w:rPr>
                    <w:t xml:space="preserve">CHIPS Act Signed</w:t>
                  </w:r>
                </w:p>
              </w:tc>
              <w:tc>
                <w:tcPr/>
                <w:p w:rsidR="00000000" w:rsidDel="00000000" w:rsidP="00000000" w:rsidRDefault="00000000" w:rsidRPr="00000000" w14:paraId="000000BB">
                  <w:pPr>
                    <w:rPr/>
                  </w:pPr>
                  <w:r w:rsidDel="00000000" w:rsidR="00000000" w:rsidRPr="00000000">
                    <w:rPr>
                      <w:rtl w:val="0"/>
                    </w:rPr>
                    <w:t xml:space="preserve">NVDA</w:t>
                  </w:r>
                </w:p>
              </w:tc>
              <w:tc>
                <w:tcPr/>
                <w:p w:rsidR="00000000" w:rsidDel="00000000" w:rsidP="00000000" w:rsidRDefault="00000000" w:rsidRPr="00000000" w14:paraId="000000BC">
                  <w:pPr>
                    <w:rPr/>
                  </w:pPr>
                  <w:r w:rsidDel="00000000" w:rsidR="00000000" w:rsidRPr="00000000">
                    <w:rPr>
                      <w:rtl w:val="0"/>
                    </w:rPr>
                    <w:t xml:space="preserve">-6.65</w:t>
                  </w:r>
                </w:p>
              </w:tc>
              <w:tc>
                <w:tcPr/>
                <w:p w:rsidR="00000000" w:rsidDel="00000000" w:rsidP="00000000" w:rsidRDefault="00000000" w:rsidRPr="00000000" w14:paraId="000000BD">
                  <w:pPr>
                    <w:rPr/>
                  </w:pPr>
                  <w:r w:rsidDel="00000000" w:rsidR="00000000" w:rsidRPr="00000000">
                    <w:rPr>
                      <w:rtl w:val="0"/>
                    </w:rPr>
                    <w:t xml:space="preserve">-0.887</w:t>
                  </w:r>
                </w:p>
              </w:tc>
              <w:tc>
                <w:tcPr/>
                <w:p w:rsidR="00000000" w:rsidDel="00000000" w:rsidP="00000000" w:rsidRDefault="00000000" w:rsidRPr="00000000" w14:paraId="000000BE">
                  <w:pPr>
                    <w:rPr/>
                  </w:pPr>
                  <w:r w:rsidDel="00000000" w:rsidR="00000000" w:rsidRPr="00000000">
                    <w:rPr>
                      <w:rtl w:val="0"/>
                    </w:rPr>
                    <w:t xml:space="preserve">0.3751</w:t>
                  </w:r>
                </w:p>
              </w:tc>
              <w:tc>
                <w:tcPr>
                  <w:tcBorders>
                    <w:right w:color="000000" w:space="0" w:sz="4" w:val="single"/>
                  </w:tcBorders>
                </w:tcPr>
                <w:p w:rsidR="00000000" w:rsidDel="00000000" w:rsidP="00000000" w:rsidRDefault="00000000" w:rsidRPr="00000000" w14:paraId="000000BF">
                  <w:pPr>
                    <w:rPr/>
                  </w:pPr>
                  <w:r w:rsidDel="00000000" w:rsidR="00000000" w:rsidRPr="00000000">
                    <w:rPr>
                      <w:rtl w:val="0"/>
                    </w:rPr>
                    <w:t xml:space="preserve">No</w:t>
                  </w:r>
                </w:p>
              </w:tc>
            </w:tr>
            <w:tr>
              <w:trPr>
                <w:cantSplit w:val="0"/>
                <w:tblHeader w:val="0"/>
              </w:trPr>
              <w:tc>
                <w:tcPr>
                  <w:tcBorders>
                    <w:left w:color="000000" w:space="0" w:sz="4" w:val="single"/>
                  </w:tcBorders>
                </w:tcPr>
                <w:p w:rsidR="00000000" w:rsidDel="00000000" w:rsidP="00000000" w:rsidRDefault="00000000" w:rsidRPr="00000000" w14:paraId="000000C0">
                  <w:pPr>
                    <w:rPr/>
                  </w:pPr>
                  <w:r w:rsidDel="00000000" w:rsidR="00000000" w:rsidRPr="00000000">
                    <w:rPr>
                      <w:rtl w:val="0"/>
                    </w:rPr>
                    <w:t xml:space="preserve">CHIPS Act Signed</w:t>
                  </w:r>
                </w:p>
              </w:tc>
              <w:tc>
                <w:tcPr/>
                <w:p w:rsidR="00000000" w:rsidDel="00000000" w:rsidP="00000000" w:rsidRDefault="00000000" w:rsidRPr="00000000" w14:paraId="000000C1">
                  <w:pPr>
                    <w:rPr>
                      <w:b w:val="1"/>
                      <w:bCs w:val="1"/>
                    </w:rPr>
                  </w:pPr>
                  <w:r w:rsidDel="00000000" w:rsidR="00000000" w:rsidRPr="00000000">
                    <w:rPr>
                      <w:b w:val="1"/>
                      <w:bCs w:val="1"/>
                      <w:rtl w:val="0"/>
                    </w:rPr>
                    <w:t xml:space="preserve">Tech Basket </w:t>
                  </w:r>
                </w:p>
              </w:tc>
              <w:tc>
                <w:tcPr/>
                <w:p w:rsidR="00000000" w:rsidDel="00000000" w:rsidP="00000000" w:rsidRDefault="00000000" w:rsidRPr="00000000" w14:paraId="000000C2">
                  <w:pPr>
                    <w:rPr/>
                  </w:pPr>
                  <w:r w:rsidDel="00000000" w:rsidR="00000000" w:rsidRPr="00000000">
                    <w:rPr>
                      <w:rtl w:val="0"/>
                    </w:rPr>
                    <w:t xml:space="preserve">-1.94</w:t>
                  </w:r>
                </w:p>
              </w:tc>
              <w:tc>
                <w:tcPr/>
                <w:p w:rsidR="00000000" w:rsidDel="00000000" w:rsidP="00000000" w:rsidRDefault="00000000" w:rsidRPr="00000000" w14:paraId="000000C3">
                  <w:pPr>
                    <w:rPr/>
                  </w:pPr>
                  <w:r w:rsidDel="00000000" w:rsidR="00000000" w:rsidRPr="00000000">
                    <w:rPr>
                      <w:rtl w:val="0"/>
                    </w:rPr>
                    <w:t xml:space="preserve">-</w:t>
                  </w:r>
                </w:p>
              </w:tc>
              <w:tc>
                <w:tcPr/>
                <w:p w:rsidR="00000000" w:rsidDel="00000000" w:rsidP="00000000" w:rsidRDefault="00000000" w:rsidRPr="00000000" w14:paraId="000000C4">
                  <w:pPr>
                    <w:rPr/>
                  </w:pPr>
                  <w:r w:rsidDel="00000000" w:rsidR="00000000" w:rsidRPr="00000000">
                    <w:rPr>
                      <w:rtl w:val="0"/>
                    </w:rPr>
                    <w:t xml:space="preserve">-</w:t>
                  </w:r>
                </w:p>
              </w:tc>
              <w:tc>
                <w:tcPr>
                  <w:tcBorders>
                    <w:right w:color="000000" w:space="0" w:sz="4" w:val="single"/>
                  </w:tcBorders>
                </w:tcPr>
                <w:p w:rsidR="00000000" w:rsidDel="00000000" w:rsidP="00000000" w:rsidRDefault="00000000" w:rsidRPr="00000000" w14:paraId="000000C5">
                  <w:pPr>
                    <w:rPr/>
                  </w:pPr>
                  <w:r w:rsidDel="00000000" w:rsidR="00000000" w:rsidRPr="00000000">
                    <w:rPr>
                      <w:rtl w:val="0"/>
                    </w:rPr>
                    <w:t xml:space="preserve">-</w:t>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C6">
                  <w:pPr>
                    <w:rPr/>
                  </w:pPr>
                  <w:r w:rsidDel="00000000" w:rsidR="00000000" w:rsidRPr="00000000">
                    <w:rPr>
                      <w:rtl w:val="0"/>
                    </w:rPr>
                    <w:t xml:space="preserve">CHIPS Act Signed</w:t>
                  </w:r>
                </w:p>
              </w:tc>
              <w:tc>
                <w:tcPr>
                  <w:tcBorders>
                    <w:bottom w:color="000000" w:space="0" w:sz="4" w:val="single"/>
                  </w:tcBorders>
                </w:tcPr>
                <w:p w:rsidR="00000000" w:rsidDel="00000000" w:rsidP="00000000" w:rsidRDefault="00000000" w:rsidRPr="00000000" w14:paraId="000000C7">
                  <w:pPr>
                    <w:rPr>
                      <w:b w:val="1"/>
                      <w:bCs w:val="1"/>
                    </w:rPr>
                  </w:pPr>
                  <w:r w:rsidDel="00000000" w:rsidR="00000000" w:rsidRPr="00000000">
                    <w:rPr>
                      <w:b w:val="1"/>
                      <w:bCs w:val="1"/>
                      <w:rtl w:val="0"/>
                    </w:rPr>
                    <w:t xml:space="preserve">S&amp;P 500 (raw return)</w:t>
                  </w:r>
                </w:p>
              </w:tc>
              <w:tc>
                <w:tcPr>
                  <w:tcBorders>
                    <w:bottom w:color="000000" w:space="0" w:sz="4" w:val="single"/>
                  </w:tcBorders>
                </w:tcPr>
                <w:p w:rsidR="00000000" w:rsidDel="00000000" w:rsidP="00000000" w:rsidRDefault="00000000" w:rsidRPr="00000000" w14:paraId="000000C8">
                  <w:pPr>
                    <w:rPr/>
                  </w:pPr>
                  <w:r w:rsidDel="00000000" w:rsidR="00000000" w:rsidRPr="00000000">
                    <w:rPr>
                      <w:rtl w:val="0"/>
                    </w:rPr>
                    <w:t xml:space="preserve">+4.48</w:t>
                  </w:r>
                </w:p>
              </w:tc>
              <w:tc>
                <w:tcPr>
                  <w:tcBorders>
                    <w:bottom w:color="000000" w:space="0" w:sz="4" w:val="single"/>
                  </w:tcBorders>
                </w:tcPr>
                <w:p w:rsidR="00000000" w:rsidDel="00000000" w:rsidP="00000000" w:rsidRDefault="00000000" w:rsidRPr="00000000" w14:paraId="000000C9">
                  <w:pPr>
                    <w:rPr/>
                  </w:pPr>
                  <w:r w:rsidDel="00000000" w:rsidR="00000000" w:rsidRPr="00000000">
                    <w:rPr>
                      <w:rtl w:val="0"/>
                    </w:rPr>
                    <w:t xml:space="preserve">-</w:t>
                  </w:r>
                </w:p>
              </w:tc>
              <w:tc>
                <w:tcPr>
                  <w:tcBorders>
                    <w:bottom w:color="000000" w:space="0" w:sz="4" w:val="single"/>
                  </w:tcBorders>
                </w:tcPr>
                <w:p w:rsidR="00000000" w:rsidDel="00000000" w:rsidP="00000000" w:rsidRDefault="00000000" w:rsidRPr="00000000" w14:paraId="000000CA">
                  <w:pPr>
                    <w:rPr/>
                  </w:pPr>
                  <w:r w:rsidDel="00000000" w:rsidR="00000000" w:rsidRPr="00000000">
                    <w:rPr>
                      <w:rtl w:val="0"/>
                    </w:rPr>
                    <w:t xml:space="preserve">-</w:t>
                  </w:r>
                </w:p>
              </w:tc>
              <w:tc>
                <w:tcPr>
                  <w:tcBorders>
                    <w:bottom w:color="000000" w:space="0" w:sz="4" w:val="single"/>
                    <w:right w:color="000000" w:space="0" w:sz="4" w:val="single"/>
                  </w:tcBorders>
                </w:tcPr>
                <w:p w:rsidR="00000000" w:rsidDel="00000000" w:rsidP="00000000" w:rsidRDefault="00000000" w:rsidRPr="00000000" w14:paraId="000000CB">
                  <w:pPr>
                    <w:rPr/>
                  </w:pPr>
                  <w:r w:rsidDel="00000000" w:rsidR="00000000" w:rsidRPr="00000000">
                    <w:rPr>
                      <w:rtl w:val="0"/>
                    </w:rPr>
                    <w:t xml:space="preserve">-</w:t>
                  </w:r>
                </w:p>
              </w:tc>
            </w:tr>
          </w:tbl>
          <w:p w:rsidR="00000000" w:rsidDel="00000000" w:rsidP="00000000" w:rsidRDefault="00000000" w:rsidRPr="00000000" w14:paraId="000000CC">
            <w:pPr>
              <w:rPr/>
            </w:pPr>
            <w:r w:rsidDel="00000000" w:rsidR="00000000" w:rsidRPr="00000000">
              <w:rPr>
                <w:rtl w:val="0"/>
              </w:rPr>
            </w:r>
          </w:p>
        </w:tc>
      </w:tr>
    </w:tbl>
    <w:p w:rsidR="00000000" w:rsidDel="00000000" w:rsidP="00000000" w:rsidRDefault="00000000" w:rsidRPr="00000000" w14:paraId="000000CD">
      <w:pPr>
        <w:rPr>
          <w:i w:val="1"/>
          <w:iCs w:val="1"/>
          <w:sz w:val="28"/>
          <w:szCs w:val="28"/>
        </w:rPr>
      </w:pPr>
      <w:r w:rsidDel="00000000" w:rsidR="00000000" w:rsidRPr="00000000">
        <w:rPr>
          <w:i w:val="1"/>
          <w:iCs w:val="1"/>
          <w:sz w:val="28"/>
          <w:szCs w:val="28"/>
          <w:rtl w:val="0"/>
        </w:rPr>
        <w:br w:type="textWrapping"/>
      </w:r>
    </w:p>
    <w:p w:rsidR="00000000" w:rsidDel="00000000" w:rsidP="00000000" w:rsidRDefault="00000000" w:rsidRPr="00000000" w14:paraId="000000CE">
      <w:pPr>
        <w:rPr>
          <w:i w:val="1"/>
          <w:iCs w:val="1"/>
          <w:sz w:val="28"/>
          <w:szCs w:val="28"/>
        </w:rPr>
      </w:pPr>
      <w:r w:rsidDel="00000000" w:rsidR="00000000" w:rsidRPr="00000000">
        <w:rPr>
          <w:rtl w:val="0"/>
        </w:rPr>
      </w:r>
    </w:p>
    <w:p w:rsidR="00000000" w:rsidDel="00000000" w:rsidP="00000000" w:rsidRDefault="00000000" w:rsidRPr="00000000" w14:paraId="000000CF">
      <w:pPr>
        <w:rPr>
          <w:i w:val="1"/>
          <w:iCs w:val="1"/>
          <w:sz w:val="28"/>
          <w:szCs w:val="28"/>
        </w:rPr>
      </w:pPr>
      <w:r w:rsidDel="00000000" w:rsidR="00000000" w:rsidRPr="00000000">
        <w:rPr>
          <w:i w:val="1"/>
          <w:iCs w:val="1"/>
          <w:sz w:val="28"/>
          <w:szCs w:val="28"/>
          <w:rtl w:val="0"/>
        </w:rPr>
        <w:br w:type="textWrapping"/>
      </w:r>
      <w:r w:rsidDel="00000000" w:rsidR="00000000" w:rsidRPr="00000000">
        <w:rPr>
          <w:b w:val="1"/>
          <w:bCs w:val="1"/>
          <w:sz w:val="28"/>
          <w:szCs w:val="28"/>
          <w:rtl w:val="0"/>
        </w:rPr>
        <w:t xml:space="preserve">Breakdown of each event:</w:t>
      </w:r>
      <w:r w:rsidDel="00000000" w:rsidR="00000000" w:rsidRPr="00000000">
        <w:rPr>
          <w:b w:val="1"/>
          <w:bCs w:val="1"/>
          <w:i w:val="1"/>
          <w:iCs w:val="1"/>
          <w:sz w:val="28"/>
          <w:szCs w:val="28"/>
          <w:rtl w:val="0"/>
        </w:rPr>
        <w:br w:type="textWrapping"/>
        <w:br w:type="textWrapping"/>
        <w:t xml:space="preserve">2024 Election:</w:t>
        <w:br w:type="textWrapping"/>
      </w:r>
      <w:r w:rsidDel="00000000" w:rsidR="00000000" w:rsidRPr="00000000">
        <w:rPr>
          <w:i w:val="1"/>
          <w:iCs w:val="1"/>
          <w:sz w:val="28"/>
          <w:szCs w:val="28"/>
          <w:rtl w:val="0"/>
        </w:rPr>
        <w:t xml:space="preserve">During the 2024 Election, all of the stocks from the technology basket produced a negative cumulative abnormal return. Apple declined the most at-7.59%, followed by Nvidia at -5.95% and Microsoft at -3.21%. The technology basket overall produced an average CAR of -5.58% significantly different from the S&amp;P 500 which produced a 2.64% gain over the event window. None of the stocks from the technology basket reached a statistical significance. While the broad market reacted positively to the elections, large cap technology stocks can be seen underperforming relative to the expected returns.</w:t>
        <w:br w:type="textWrapping"/>
        <w:br w:type="textWrapping"/>
      </w:r>
      <w:r w:rsidDel="00000000" w:rsidR="00000000" w:rsidRPr="00000000">
        <w:rPr>
          <w:b w:val="1"/>
          <w:bCs w:val="1"/>
          <w:i w:val="1"/>
          <w:iCs w:val="1"/>
          <w:sz w:val="28"/>
          <w:szCs w:val="28"/>
          <w:rtl w:val="0"/>
        </w:rPr>
        <w:t xml:space="preserve">Liberation Day Tariffs:</w:t>
        <w:br w:type="textWrapping"/>
      </w:r>
      <w:r w:rsidDel="00000000" w:rsidR="00000000" w:rsidRPr="00000000">
        <w:rPr>
          <w:i w:val="1"/>
          <w:iCs w:val="1"/>
          <w:sz w:val="28"/>
          <w:szCs w:val="28"/>
          <w:rtl w:val="0"/>
        </w:rPr>
        <w:t xml:space="preserve">The Liberation Day tariffs produced the most contrasting results across the basket. While Apple produced a CAR of -5.55%, Microsoft produced +5.34% and Nvidia produced +9.57%.</w:t>
      </w:r>
      <w:r w:rsidDel="00000000" w:rsidR="00000000" w:rsidRPr="00000000">
        <w:rPr>
          <w:i w:val="1"/>
          <w:iCs w:val="1"/>
          <w:rtl w:val="0"/>
        </w:rPr>
        <w:t xml:space="preserve"> </w:t>
      </w:r>
      <w:r w:rsidDel="00000000" w:rsidR="00000000" w:rsidRPr="00000000">
        <w:rPr>
          <w:i w:val="1"/>
          <w:iCs w:val="1"/>
          <w:sz w:val="28"/>
          <w:szCs w:val="28"/>
          <w:rtl w:val="0"/>
        </w:rPr>
        <w:t xml:space="preserve">The technology basket averaged a positive CAR of +3.12%, outperforming the S&amp;P 500 which fell -4.92% over the same window.</w:t>
      </w:r>
      <w:r w:rsidDel="00000000" w:rsidR="00000000" w:rsidRPr="00000000">
        <w:rPr>
          <w:rtl w:val="0"/>
        </w:rPr>
        <w:t xml:space="preserve"> </w:t>
      </w:r>
      <w:r w:rsidDel="00000000" w:rsidR="00000000" w:rsidRPr="00000000">
        <w:rPr>
          <w:i w:val="1"/>
          <w:iCs w:val="1"/>
          <w:sz w:val="28"/>
          <w:szCs w:val="28"/>
          <w:rtl w:val="0"/>
        </w:rPr>
        <w:t xml:space="preserve">Despite the large magnitude of individual stock movements, none reached statistical significance. The divergence between Apple and the other two stocks may reflect Apple's greater exposure to tariff-affected supply chains in China compared to Microsoft and Nvidia.</w:t>
      </w:r>
      <w:r w:rsidDel="00000000" w:rsidR="00000000" w:rsidRPr="00000000">
        <w:rPr>
          <w:sz w:val="28"/>
          <w:szCs w:val="28"/>
          <w:rtl w:val="0"/>
        </w:rPr>
        <w:br w:type="textWrapping"/>
      </w:r>
      <w:r w:rsidDel="00000000" w:rsidR="00000000" w:rsidRPr="00000000">
        <w:rPr>
          <w:i w:val="1"/>
          <w:iCs w:val="1"/>
          <w:sz w:val="28"/>
          <w:szCs w:val="28"/>
          <w:rtl w:val="0"/>
        </w:rPr>
        <w:br w:type="textWrapping"/>
      </w:r>
      <w:r w:rsidDel="00000000" w:rsidR="00000000" w:rsidRPr="00000000">
        <w:rPr>
          <w:b w:val="1"/>
          <w:bCs w:val="1"/>
          <w:i w:val="1"/>
          <w:iCs w:val="1"/>
          <w:sz w:val="28"/>
          <w:szCs w:val="28"/>
          <w:rtl w:val="0"/>
        </w:rPr>
        <w:t xml:space="preserve">Chip Export Controls:</w:t>
        <w:br w:type="textWrapping"/>
      </w:r>
      <w:r w:rsidDel="00000000" w:rsidR="00000000" w:rsidRPr="00000000">
        <w:rPr>
          <w:i w:val="1"/>
          <w:iCs w:val="1"/>
          <w:sz w:val="28"/>
          <w:szCs w:val="28"/>
          <w:rtl w:val="0"/>
        </w:rPr>
        <w:t xml:space="preserve">The announcement of semiconductor export controls on China generated negative abnormal returns across all three technology stocks, Apple declined 2.17% while Microsoft and Nvidia suffered a 2.27% and 3.32% decline respectively.</w:t>
      </w:r>
      <w:r w:rsidDel="00000000" w:rsidR="00000000" w:rsidRPr="00000000">
        <w:rPr>
          <w:rtl w:val="0"/>
        </w:rPr>
        <w:t xml:space="preserve"> </w:t>
      </w:r>
      <w:r w:rsidDel="00000000" w:rsidR="00000000" w:rsidRPr="00000000">
        <w:rPr>
          <w:i w:val="1"/>
          <w:iCs w:val="1"/>
          <w:sz w:val="28"/>
          <w:szCs w:val="28"/>
          <w:rtl w:val="0"/>
        </w:rPr>
        <w:t xml:space="preserve">The technology basket underperformed the S&amp;P 500, generating an average CAR of -2.59% compared to the market's -1.39%. None of the results were statistically significant. Notably, Nvidia, whose products were most directly targeted by the export controls, produced the largest negative CAR among the three stocks.</w:t>
        <w:br w:type="textWrapping"/>
        <w:br w:type="textWrapping"/>
        <w:br w:type="textWrapping"/>
      </w:r>
      <w:r w:rsidDel="00000000" w:rsidR="00000000" w:rsidRPr="00000000">
        <w:rPr>
          <w:b w:val="1"/>
          <w:bCs w:val="1"/>
          <w:i w:val="1"/>
          <w:iCs w:val="1"/>
          <w:sz w:val="28"/>
          <w:szCs w:val="28"/>
          <w:rtl w:val="0"/>
        </w:rPr>
        <w:t xml:space="preserve">EU DMA Compliance</w:t>
        <w:br w:type="textWrapping"/>
      </w:r>
      <w:r w:rsidDel="00000000" w:rsidR="00000000" w:rsidRPr="00000000">
        <w:rPr>
          <w:i w:val="1"/>
          <w:iCs w:val="1"/>
          <w:sz w:val="28"/>
          <w:szCs w:val="28"/>
          <w:rtl w:val="0"/>
        </w:rPr>
        <w:t xml:space="preserve">The EU DMA Compliance produced the only statistically significant result in the whole study. Apple generated CAR of -7.36% (t = -2.613, p = 0.009), this indicated that the abnormal returns produced by Apple compared to the S&amp;P 500 were statistically distinguishable from random variation.</w:t>
      </w:r>
      <w:r w:rsidDel="00000000" w:rsidR="00000000" w:rsidRPr="00000000">
        <w:rPr>
          <w:rtl w:val="0"/>
        </w:rPr>
        <w:t xml:space="preserve"> </w:t>
      </w:r>
      <w:r w:rsidDel="00000000" w:rsidR="00000000" w:rsidRPr="00000000">
        <w:rPr>
          <w:i w:val="1"/>
          <w:iCs w:val="1"/>
          <w:sz w:val="28"/>
          <w:szCs w:val="28"/>
          <w:rtl w:val="0"/>
        </w:rPr>
        <w:t xml:space="preserve">Microsoft and Nvidia showed contrasting movements of -0.73% and +9.42% respectively, though neither was significant. Yet, the technology basket produced a CAR of +0.44% underperforming the S&amp;P 500’s +1.73% change.</w:t>
        <w:br w:type="textWrapping"/>
        <w:br w:type="textWrapping"/>
      </w:r>
      <w:r w:rsidDel="00000000" w:rsidR="00000000" w:rsidRPr="00000000">
        <w:rPr>
          <w:b w:val="1"/>
          <w:bCs w:val="1"/>
          <w:i w:val="1"/>
          <w:iCs w:val="1"/>
          <w:sz w:val="28"/>
          <w:szCs w:val="28"/>
          <w:rtl w:val="0"/>
        </w:rPr>
        <w:br w:type="textWrapping"/>
        <w:t xml:space="preserve">CHIPS Act Signed</w:t>
        <w:br w:type="textWrapping"/>
      </w:r>
      <w:r w:rsidDel="00000000" w:rsidR="00000000" w:rsidRPr="00000000">
        <w:rPr>
          <w:i w:val="1"/>
          <w:iCs w:val="1"/>
          <w:sz w:val="28"/>
          <w:szCs w:val="28"/>
          <w:rtl w:val="0"/>
        </w:rPr>
        <w:t xml:space="preserve">The signing of the CHIPS and Science Act, produced counterintuitive results. Nvidia produced a -6.65% change while Apple and Microsoft produced a +1.04% and -0.20% change respectively.</w:t>
      </w:r>
      <w:r w:rsidDel="00000000" w:rsidR="00000000" w:rsidRPr="00000000">
        <w:rPr>
          <w:rtl w:val="0"/>
        </w:rPr>
        <w:t xml:space="preserve"> </w:t>
      </w:r>
      <w:r w:rsidDel="00000000" w:rsidR="00000000" w:rsidRPr="00000000">
        <w:rPr>
          <w:i w:val="1"/>
          <w:iCs w:val="1"/>
          <w:sz w:val="28"/>
          <w:szCs w:val="28"/>
          <w:rtl w:val="0"/>
        </w:rPr>
        <w:t xml:space="preserve">The technology basket averaged -1.94% against the S&amp;P 500's strong gain of +4.48%. None of the results were statistically significant.</w:t>
      </w:r>
    </w:p>
    <w:p w:rsidR="00000000" w:rsidDel="00000000" w:rsidP="00000000" w:rsidRDefault="00000000" w:rsidRPr="00000000" w14:paraId="000000D0">
      <w:pPr>
        <w:jc w:val="center"/>
        <w:rPr>
          <w:b w:val="1"/>
          <w:bCs w:val="1"/>
          <w:sz w:val="32"/>
          <w:szCs w:val="32"/>
        </w:rPr>
      </w:pPr>
      <w:r w:rsidDel="00000000" w:rsidR="00000000" w:rsidRPr="00000000">
        <w:rPr>
          <w:b w:val="1"/>
          <w:bCs w:val="1"/>
          <w:i w:val="1"/>
          <w:iCs w:val="1"/>
          <w:sz w:val="28"/>
          <w:szCs w:val="28"/>
          <w:rtl w:val="0"/>
        </w:rPr>
        <w:br w:type="textWrapping"/>
      </w:r>
      <w:r w:rsidDel="00000000" w:rsidR="00000000" w:rsidRPr="00000000">
        <w:rPr>
          <w:i w:val="1"/>
          <w:iCs w:val="1"/>
          <w:sz w:val="28"/>
          <w:szCs w:val="28"/>
          <w:rtl w:val="0"/>
        </w:rPr>
        <w:br w:type="textWrapping"/>
      </w:r>
      <w:r w:rsidDel="00000000" w:rsidR="00000000" w:rsidRPr="00000000">
        <w:rPr>
          <w:b w:val="1"/>
          <w:bCs w:val="1"/>
          <w:sz w:val="32"/>
          <w:szCs w:val="32"/>
          <w:rtl w:val="0"/>
        </w:rPr>
        <w:t xml:space="preserve">Discussion</w:t>
      </w:r>
    </w:p>
    <w:p w:rsidR="00000000" w:rsidDel="00000000" w:rsidP="00000000" w:rsidRDefault="00000000" w:rsidRPr="00000000" w14:paraId="000000D1">
      <w:pPr>
        <w:jc w:val="center"/>
        <w:rPr>
          <w:b w:val="1"/>
          <w:bCs w:val="1"/>
          <w:sz w:val="32"/>
          <w:szCs w:val="32"/>
        </w:rPr>
      </w:pPr>
      <w:r w:rsidDel="00000000" w:rsidR="00000000" w:rsidRPr="00000000">
        <w:rPr>
          <w:rtl w:val="0"/>
        </w:rPr>
      </w:r>
    </w:p>
    <w:p w:rsidR="00000000" w:rsidDel="00000000" w:rsidP="00000000" w:rsidRDefault="00000000" w:rsidRPr="00000000" w14:paraId="000000D2">
      <w:pPr>
        <w:rPr>
          <w:i w:val="1"/>
          <w:iCs w:val="1"/>
          <w:sz w:val="28"/>
          <w:szCs w:val="28"/>
        </w:rPr>
      </w:pPr>
      <w:r w:rsidDel="00000000" w:rsidR="00000000" w:rsidRPr="00000000">
        <w:rPr>
          <w:b w:val="1"/>
          <w:bCs w:val="1"/>
          <w:sz w:val="28"/>
          <w:szCs w:val="28"/>
          <w:rtl w:val="0"/>
        </w:rPr>
        <w:t xml:space="preserve">Assessment Of Hypothesis</w:t>
        <w:br w:type="textWrapping"/>
      </w:r>
      <w:r w:rsidDel="00000000" w:rsidR="00000000" w:rsidRPr="00000000">
        <w:rPr>
          <w:i w:val="1"/>
          <w:iCs w:val="1"/>
          <w:sz w:val="28"/>
          <w:szCs w:val="28"/>
          <w:rtl w:val="0"/>
        </w:rPr>
        <w:t xml:space="preserve">The hypothesis of this study was that large-cap technology stocks would produce statistically significant abnormal returns compared to the S&amp;P 500 following major political announcements, but the results proved otherwise. Only 1 out of the individual stock event observations following events depicted a statistically significant abnormal return and the tech basket only outperformed the S&amp;P 500 in one of the 5 events examined.</w:t>
      </w:r>
    </w:p>
    <w:p w:rsidR="00000000" w:rsidDel="00000000" w:rsidP="00000000" w:rsidRDefault="00000000" w:rsidRPr="00000000" w14:paraId="000000D3">
      <w:pPr>
        <w:rPr>
          <w:b w:val="1"/>
          <w:bCs w:val="1"/>
          <w:sz w:val="28"/>
          <w:szCs w:val="28"/>
        </w:rPr>
      </w:pPr>
      <w:r w:rsidDel="00000000" w:rsidR="00000000" w:rsidRPr="00000000">
        <w:rPr>
          <w:i w:val="1"/>
          <w:iCs w:val="1"/>
          <w:sz w:val="28"/>
          <w:szCs w:val="28"/>
          <w:rtl w:val="0"/>
        </w:rPr>
        <w:br w:type="textWrapping"/>
      </w:r>
      <w:r w:rsidDel="00000000" w:rsidR="00000000" w:rsidRPr="00000000">
        <w:rPr>
          <w:b w:val="1"/>
          <w:bCs w:val="1"/>
          <w:sz w:val="28"/>
          <w:szCs w:val="28"/>
          <w:rtl w:val="0"/>
        </w:rPr>
        <w:t xml:space="preserve">EU DMA-Apple</w:t>
      </w:r>
      <w:r w:rsidDel="00000000" w:rsidR="00000000" w:rsidRPr="00000000">
        <w:rPr>
          <w:b w:val="1"/>
          <w:bCs w:val="1"/>
          <w:i w:val="1"/>
          <w:iCs w:val="1"/>
          <w:sz w:val="28"/>
          <w:szCs w:val="28"/>
          <w:rtl w:val="0"/>
        </w:rPr>
        <w:br w:type="textWrapping"/>
      </w:r>
      <w:r w:rsidDel="00000000" w:rsidR="00000000" w:rsidRPr="00000000">
        <w:rPr>
          <w:i w:val="1"/>
          <w:iCs w:val="1"/>
          <w:sz w:val="28"/>
          <w:szCs w:val="28"/>
          <w:rtl w:val="0"/>
        </w:rPr>
        <w:t xml:space="preserve">The only statistically significant cumulative abnormal return in this study was produced by Apple during the EU Digital Market Act compliance. This event directly affected Apple as it targeted the App store practices obliging it to open its ecosystem to third party developers and alternative payment systems. As both Microsoft and Nvidia did not show any significant change during the same event,  this further supports the interpretation.</w:t>
        <w:br w:type="textWrapping"/>
      </w:r>
      <w:r w:rsidDel="00000000" w:rsidR="00000000" w:rsidRPr="00000000">
        <w:rPr>
          <w:rtl w:val="0"/>
        </w:rPr>
      </w:r>
    </w:p>
    <w:p w:rsidR="00000000" w:rsidDel="00000000" w:rsidP="00000000" w:rsidRDefault="00000000" w:rsidRPr="00000000" w14:paraId="000000D4">
      <w:pPr>
        <w:rPr>
          <w:i w:val="1"/>
          <w:iCs w:val="1"/>
          <w:sz w:val="28"/>
          <w:szCs w:val="28"/>
        </w:rPr>
      </w:pPr>
      <w:r w:rsidDel="00000000" w:rsidR="00000000" w:rsidRPr="00000000">
        <w:rPr>
          <w:b w:val="1"/>
          <w:bCs w:val="1"/>
          <w:sz w:val="28"/>
          <w:szCs w:val="28"/>
          <w:rtl w:val="0"/>
        </w:rPr>
        <w:t xml:space="preserve">Chips Act- Nvidia</w:t>
        <w:br w:type="textWrapping"/>
      </w:r>
      <w:r w:rsidDel="00000000" w:rsidR="00000000" w:rsidRPr="00000000">
        <w:rPr>
          <w:i w:val="1"/>
          <w:iCs w:val="1"/>
          <w:sz w:val="28"/>
          <w:szCs w:val="28"/>
          <w:rtl w:val="0"/>
        </w:rPr>
        <w:t xml:space="preserve">The signing of the CHIPS and Science Act produced a counterintuitive result, while the legislation was expected to boost semiconductor production, Nvidia declined by 6.65%. This is consistent with the buy the rumour sell the news phenomenon, where investors anticipate a positive catalyst and accumulate positions and liquidate the stock after the event materializes. The CHIPS Act had been subject to extensive legislative discussion and media coverage for several months prior to its signing, providing adequate opportunity for markets to price in its expected change.</w:t>
        <w:br w:type="textWrapping"/>
        <w:br w:type="textWrapping"/>
      </w:r>
      <w:r w:rsidDel="00000000" w:rsidR="00000000" w:rsidRPr="00000000">
        <w:rPr>
          <w:b w:val="1"/>
          <w:bCs w:val="1"/>
          <w:sz w:val="28"/>
          <w:szCs w:val="28"/>
          <w:rtl w:val="0"/>
        </w:rPr>
        <w:t xml:space="preserve">Limitations</w:t>
      </w:r>
      <w:r w:rsidDel="00000000" w:rsidR="00000000" w:rsidRPr="00000000">
        <w:rPr>
          <w:b w:val="1"/>
          <w:bCs w:val="1"/>
          <w:i w:val="1"/>
          <w:iCs w:val="1"/>
          <w:sz w:val="28"/>
          <w:szCs w:val="28"/>
          <w:rtl w:val="0"/>
        </w:rPr>
        <w:br w:type="textWrapping"/>
      </w:r>
      <w:r w:rsidDel="00000000" w:rsidR="00000000" w:rsidRPr="00000000">
        <w:rPr>
          <w:i w:val="1"/>
          <w:iCs w:val="1"/>
          <w:sz w:val="28"/>
          <w:szCs w:val="28"/>
          <w:rtl w:val="0"/>
        </w:rPr>
        <w:t xml:space="preserve">This study had multiple limitations which should be acknowledged. First, the technology basket only consisted of 3 stocks which limits the generalisability of the findings to the broad large cap technology sector. Other companies like Google, Amazon and Meta were not part of the basket but their reaction could be different to the same event.</w:t>
        <w:br w:type="textWrapping"/>
        <w:br w:type="textWrapping"/>
        <w:t xml:space="preserve">Second, only 5 events were taken into consideration for this study, inadequate enough to produce a strong general conclusion about the relationship between large cap technology stocks and political announcements.</w:t>
        <w:br w:type="textWrapping"/>
        <w:br w:type="textWrapping"/>
        <w:t xml:space="preserve">Third, the event window used (-5,+5) while being used consistently in standard event study methodology , may or may not capture the stock’s full reaction to the event. Some events cause prolonged reaction beyond the 11-day window.</w:t>
        <w:br w:type="textWrapping"/>
        <w:br w:type="textWrapping"/>
        <w:t xml:space="preserve">Fourth, two of the five events occur within close proximity in the data, raising the possibility that their estimation windows overlap, which could contaminate the expected return calculations and introduce bias into the abnormal return estimates.</w:t>
        <w:br w:type="textWrapping"/>
        <w:br w:type="textWrapping"/>
        <w:t xml:space="preserve">Finally, the technology basket’s cumulative abnormal returns are compared against the S&amp;P 500’s raw return over the event window. As these both  measure different concepts, abnormal returns adjusted for expected movements versus actual index returns, this comparison should be interpreted as descriptive rather than a direct measure of outperformance, and may overstate or understate the true divergence between technology stocks and the broader market.</w:t>
      </w:r>
    </w:p>
    <w:p w:rsidR="00000000" w:rsidDel="00000000" w:rsidP="00000000" w:rsidRDefault="00000000" w:rsidRPr="00000000" w14:paraId="000000D5">
      <w:pPr>
        <w:rPr>
          <w:i w:val="1"/>
          <w:iCs w:val="1"/>
          <w:sz w:val="28"/>
          <w:szCs w:val="28"/>
        </w:rPr>
      </w:pPr>
      <w:r w:rsidDel="00000000" w:rsidR="00000000" w:rsidRPr="00000000">
        <w:rPr>
          <w:i w:val="1"/>
          <w:iCs w:val="1"/>
          <w:sz w:val="28"/>
          <w:szCs w:val="28"/>
          <w:rtl w:val="0"/>
        </w:rPr>
        <w:br w:type="textWrapping"/>
      </w:r>
    </w:p>
    <w:p w:rsidR="00000000" w:rsidDel="00000000" w:rsidP="00000000" w:rsidRDefault="00000000" w:rsidRPr="00000000" w14:paraId="000000D6">
      <w:pPr>
        <w:jc w:val="center"/>
        <w:rPr>
          <w:b w:val="1"/>
          <w:bCs w:val="1"/>
          <w:i w:val="1"/>
          <w:iCs w:val="1"/>
          <w:sz w:val="32"/>
          <w:szCs w:val="32"/>
        </w:rPr>
      </w:pPr>
      <w:r w:rsidDel="00000000" w:rsidR="00000000" w:rsidRPr="00000000">
        <w:rPr>
          <w:b w:val="1"/>
          <w:bCs w:val="1"/>
          <w:i w:val="1"/>
          <w:iCs w:val="1"/>
          <w:sz w:val="32"/>
          <w:szCs w:val="32"/>
          <w:rtl w:val="0"/>
        </w:rPr>
        <w:t xml:space="preserve">Conclusion</w:t>
      </w:r>
    </w:p>
    <w:p w:rsidR="00000000" w:rsidDel="00000000" w:rsidP="00000000" w:rsidRDefault="00000000" w:rsidRPr="00000000" w14:paraId="000000D7">
      <w:pPr>
        <w:jc w:val="center"/>
        <w:rPr>
          <w:b w:val="1"/>
          <w:bCs w:val="1"/>
          <w:i w:val="1"/>
          <w:iCs w:val="1"/>
          <w:sz w:val="32"/>
          <w:szCs w:val="32"/>
        </w:rPr>
      </w:pPr>
      <w:r w:rsidDel="00000000" w:rsidR="00000000" w:rsidRPr="00000000">
        <w:rPr>
          <w:rtl w:val="0"/>
        </w:rPr>
      </w:r>
    </w:p>
    <w:p w:rsidR="00000000" w:rsidDel="00000000" w:rsidP="00000000" w:rsidRDefault="00000000" w:rsidRPr="00000000" w14:paraId="000000D8">
      <w:pPr>
        <w:rPr>
          <w:i w:val="1"/>
          <w:iCs w:val="1"/>
          <w:sz w:val="28"/>
          <w:szCs w:val="28"/>
        </w:rPr>
      </w:pPr>
      <w:r w:rsidDel="00000000" w:rsidR="00000000" w:rsidRPr="00000000">
        <w:rPr>
          <w:i w:val="1"/>
          <w:iCs w:val="1"/>
          <w:sz w:val="28"/>
          <w:szCs w:val="28"/>
          <w:rtl w:val="0"/>
        </w:rPr>
        <w:t xml:space="preserve">This study examined the impact of five major political announcements on the CARs on large cap technology stocks. The selected stocks were Apple, Microsoft and Nvidia. They were compared to the broad S&amp;P 500 market benchmark over the period January 2022 to April 2025. This study used standard event study methodology, daily abnormal returns were calculated using the market model and summed into cumulative abnormal returns over a symmetric (-5, +5) event window for each stock and event combination.</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The results from the study do not support the hypothesis that large cap technology stocks generate statistically significant cumulative abnormal returns exceeding the S&amp;P 500 following major political announcements.</w:t>
        <w:br w:type="textWrapping"/>
        <w:t xml:space="preserve">Out of 15 individual stock-event observations, only one reached statistical significance — Apple's CAR of -7.36% during the EU Digital Markets Act compliance deadline (t = -2.613, p = 0.009). The technology basket only outperformed the S&amp;P 500 in out of the five events examined.</w:t>
        <w:br w:type="textWrapping"/>
        <w:br w:type="textWrapping"/>
        <w:t xml:space="preserve">However the findings reveal that company-specific regulatory actions targeting a single firm’s core business model are considerably more likely to produce statistically detectable abnormal returns than broad macroeconomic or legislative announcements.</w:t>
        <w:br w:type="textWrapping"/>
        <w:br w:type="textWrapping"/>
        <w:t xml:space="preserve">Future research should address the limitations of this study by expanding the stock sample to include a broader range of large-cap technology companies, including a larger number of political events across different regulatory environments, and applying portfolio level significance testing to the technology basket as a whole. Extending the event window beyond (-5, +5) trading days may also capture more prolonged market reactions to certain types of political announcements. Such expansions would allow for more robust and generalisable conclusions about the relationship between political announcements and abnormal returns in the technology sector.</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32"/>
          <w:szCs w:val="32"/>
          <w:u w:val="none"/>
          <w:shd w:fill="auto" w:val="clear"/>
          <w:vertAlign w:val="baseline"/>
          <w:rtl w:val="0"/>
        </w:rPr>
        <w:t xml:space="preserve">References</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Boutchkova, M., Doshi, H., Durnev, A. and Molchanov P. (2012) ‘Precarious politics and return volatility’,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Review of Financial Studies</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25(4), pp. 1111–1154.</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Brunnermeier, M.K. (2005) ‘Information leakage and market efficiency’,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Review of Financial Studies</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18(2), pp. 417–457.</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Duso, T., Gugler, K. and Yurtoglu, B. (2010) ‘Is the event study methodology useful for merger analysis?’,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International Review of Law and Economics</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30(2), pp. 186–192.</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Fama, E.F. (1970) ‘Efficient capital markets: a review of theory and empirical work’,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Journal of Finance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25(2), pp. 383–417.</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Fama, E.F., Fisher, L., Jensen, M.C. and Roll, R. (1969) ‘The adjustment of stock prices to new information’,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International Economic Review</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10(1), pp. 1–21.</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MacKinlay, A.C. (1997) ‘Event studies in economics and finance’,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Journal of Economic Literature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35(1), pp. 13–39.</w:t>
        <w:br w:type="textWrapping"/>
        <w:br w:type="textWrapping"/>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AI Disclosure</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Artificial intelligence tools including Claude and ChatGPT were used solely for grammar correction, language improvement and assistance in writing the data collection code during the preparation of this paper.</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E5">
      <w:pPr>
        <w:rPr>
          <w:b w:val="1"/>
          <w:bCs w:val="1"/>
          <w:i w:val="1"/>
          <w:iCs w:val="1"/>
          <w:sz w:val="32"/>
          <w:szCs w:val="32"/>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Play">
    <w:embedRegular w:fontKey="{00000000-0000-0000-0000-000000000000}" r:id="rId1" w:subsetted="0"/>
    <w:embedBold w:fontKey="{00000000-0000-0000-0000-000000000000}" r:id="rId2" w:subsetted="0"/>
  </w:font>
  <w:font w:name="Aptos"/>
  <w:font w:name="Cambria Math">
    <w:embedRegular w:fontKey="{00000000-0000-0000-0000-000000000000}" r:id="rId3" w:subsetted="0"/>
  </w:font>
  <w:font w:name="-webkit-standard"/>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8.00000000000006"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78.00000000000006"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78.00000000000006"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78.00000000000006" w:lineRule="auto"/>
    </w:pPr>
    <w:rPr>
      <w:rFonts w:ascii="Aptos" w:cs="Aptos" w:eastAsia="Aptos" w:hAnsi="Aptos"/>
      <w:i w:val="1"/>
      <w:iCs w:val="1"/>
      <w:color w:val="0f4761"/>
    </w:rPr>
  </w:style>
  <w:style w:type="paragraph" w:styleId="Heading5">
    <w:name w:val="heading 5"/>
    <w:basedOn w:val="Normal"/>
    <w:next w:val="Normal"/>
    <w:pPr>
      <w:keepNext w:val="1"/>
      <w:keepLines w:val="1"/>
      <w:spacing w:after="40" w:before="80" w:line="278.00000000000006" w:lineRule="auto"/>
    </w:pPr>
    <w:rPr>
      <w:rFonts w:ascii="Aptos" w:cs="Aptos" w:eastAsia="Aptos" w:hAnsi="Aptos"/>
      <w:color w:val="0f4761"/>
    </w:rPr>
  </w:style>
  <w:style w:type="paragraph" w:styleId="Heading6">
    <w:name w:val="heading 6"/>
    <w:basedOn w:val="Normal"/>
    <w:next w:val="Normal"/>
    <w:pPr>
      <w:keepNext w:val="1"/>
      <w:keepLines w:val="1"/>
      <w:spacing w:before="40" w:line="278.00000000000006" w:lineRule="auto"/>
    </w:pPr>
    <w:rPr>
      <w:rFonts w:ascii="Aptos" w:cs="Aptos" w:eastAsia="Aptos" w:hAnsi="Aptos"/>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925FCA"/>
    <w:pPr>
      <w:keepNext w:val="1"/>
      <w:keepLines w:val="1"/>
      <w:spacing w:before="40" w:line="278" w:lineRule="auto"/>
      <w:outlineLvl w:val="6"/>
    </w:pPr>
    <w:rPr>
      <w:rFonts w:asciiTheme="minorHAnsi" w:cstheme="majorBidi" w:eastAsiaTheme="majorEastAsia" w:hAnsiTheme="minorHAnsi"/>
      <w:color w:val="595959" w:themeColor="text1" w:themeTint="0000A6"/>
      <w:kern w:val="2"/>
      <w:lang w:eastAsia="en-US"/>
    </w:rPr>
  </w:style>
  <w:style w:type="paragraph" w:styleId="Heading8">
    <w:name w:val="heading 8"/>
    <w:basedOn w:val="Normal"/>
    <w:next w:val="Normal"/>
    <w:link w:val="Heading8Char"/>
    <w:uiPriority w:val="9"/>
    <w:semiHidden w:val="1"/>
    <w:unhideWhenUsed w:val="1"/>
    <w:qFormat w:val="1"/>
    <w:rsid w:val="00925FCA"/>
    <w:pPr>
      <w:keepNext w:val="1"/>
      <w:keepLines w:val="1"/>
      <w:spacing w:line="278" w:lineRule="auto"/>
      <w:outlineLvl w:val="7"/>
    </w:pPr>
    <w:rPr>
      <w:rFonts w:asciiTheme="minorHAnsi" w:cstheme="majorBidi" w:eastAsiaTheme="majorEastAsia" w:hAnsiTheme="minorHAnsi"/>
      <w:i w:val="1"/>
      <w:iCs w:val="1"/>
      <w:color w:val="272727" w:themeColor="text1" w:themeTint="0000D8"/>
      <w:kern w:val="2"/>
      <w:lang w:eastAsia="en-US"/>
    </w:rPr>
  </w:style>
  <w:style w:type="paragraph" w:styleId="Heading9">
    <w:name w:val="heading 9"/>
    <w:basedOn w:val="Normal"/>
    <w:next w:val="Normal"/>
    <w:link w:val="Heading9Char"/>
    <w:uiPriority w:val="9"/>
    <w:semiHidden w:val="1"/>
    <w:unhideWhenUsed w:val="1"/>
    <w:qFormat w:val="1"/>
    <w:rsid w:val="00925FCA"/>
    <w:pPr>
      <w:keepNext w:val="1"/>
      <w:keepLines w:val="1"/>
      <w:spacing w:line="278" w:lineRule="auto"/>
      <w:outlineLvl w:val="8"/>
    </w:pPr>
    <w:rPr>
      <w:rFonts w:asciiTheme="minorHAnsi" w:cstheme="majorBidi" w:eastAsiaTheme="majorEastAsia" w:hAnsiTheme="minorHAnsi"/>
      <w:color w:val="272727" w:themeColor="text1" w:themeTint="0000D8"/>
      <w:kern w:val="2"/>
      <w:lang w:eastAsia="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925FCA"/>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925FCA"/>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925FCA"/>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925FCA"/>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925FCA"/>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925FCA"/>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925FCA"/>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925FCA"/>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925FCA"/>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925FCA"/>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925FCA"/>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925FCA"/>
    <w:pPr>
      <w:spacing w:after="160" w:before="160" w:line="278" w:lineRule="auto"/>
      <w:jc w:val="center"/>
    </w:pPr>
    <w:rPr>
      <w:rFonts w:asciiTheme="minorHAnsi" w:cstheme="minorBidi" w:eastAsiaTheme="minorHAnsi" w:hAnsiTheme="minorHAnsi"/>
      <w:i w:val="1"/>
      <w:iCs w:val="1"/>
      <w:color w:val="404040" w:themeColor="text1" w:themeTint="0000BF"/>
      <w:kern w:val="2"/>
      <w:lang w:eastAsia="en-US"/>
    </w:rPr>
  </w:style>
  <w:style w:type="character" w:styleId="QuoteChar" w:customStyle="1">
    <w:name w:val="Quote Char"/>
    <w:basedOn w:val="DefaultParagraphFont"/>
    <w:link w:val="Quote"/>
    <w:uiPriority w:val="29"/>
    <w:rsid w:val="00925FCA"/>
    <w:rPr>
      <w:i w:val="1"/>
      <w:iCs w:val="1"/>
      <w:color w:val="404040" w:themeColor="text1" w:themeTint="0000BF"/>
    </w:rPr>
  </w:style>
  <w:style w:type="paragraph" w:styleId="ListParagraph">
    <w:name w:val="List Paragraph"/>
    <w:basedOn w:val="Normal"/>
    <w:uiPriority w:val="34"/>
    <w:qFormat w:val="1"/>
    <w:rsid w:val="00925FCA"/>
    <w:pPr>
      <w:spacing w:after="160" w:line="278" w:lineRule="auto"/>
      <w:ind w:left="720"/>
      <w:contextualSpacing w:val="1"/>
    </w:pPr>
    <w:rPr>
      <w:rFonts w:asciiTheme="minorHAnsi" w:cstheme="minorBidi" w:eastAsiaTheme="minorHAnsi" w:hAnsiTheme="minorHAnsi"/>
      <w:kern w:val="2"/>
      <w:lang w:eastAsia="en-US"/>
    </w:rPr>
  </w:style>
  <w:style w:type="character" w:styleId="IntenseEmphasis">
    <w:name w:val="Intense Emphasis"/>
    <w:basedOn w:val="DefaultParagraphFont"/>
    <w:uiPriority w:val="21"/>
    <w:qFormat w:val="1"/>
    <w:rsid w:val="00925FCA"/>
    <w:rPr>
      <w:i w:val="1"/>
      <w:iCs w:val="1"/>
      <w:color w:val="0f4761" w:themeColor="accent1" w:themeShade="0000BF"/>
    </w:rPr>
  </w:style>
  <w:style w:type="paragraph" w:styleId="IntenseQuote">
    <w:name w:val="Intense Quote"/>
    <w:basedOn w:val="Normal"/>
    <w:next w:val="Normal"/>
    <w:link w:val="IntenseQuoteChar"/>
    <w:uiPriority w:val="30"/>
    <w:qFormat w:val="1"/>
    <w:rsid w:val="00925FCA"/>
    <w:pPr>
      <w:pBdr>
        <w:top w:color="0f4761" w:space="10" w:sz="4" w:themeColor="accent1" w:themeShade="0000BF" w:val="single"/>
        <w:bottom w:color="0f4761" w:space="10" w:sz="4" w:themeColor="accent1" w:themeShade="0000BF" w:val="single"/>
      </w:pBdr>
      <w:spacing w:after="360" w:before="360" w:line="278" w:lineRule="auto"/>
      <w:ind w:left="864" w:right="864"/>
      <w:jc w:val="center"/>
    </w:pPr>
    <w:rPr>
      <w:rFonts w:asciiTheme="minorHAnsi" w:cstheme="minorBidi" w:eastAsiaTheme="minorHAnsi" w:hAnsiTheme="minorHAnsi"/>
      <w:i w:val="1"/>
      <w:iCs w:val="1"/>
      <w:color w:val="0f4761" w:themeColor="accent1" w:themeShade="0000BF"/>
      <w:kern w:val="2"/>
      <w:lang w:eastAsia="en-US"/>
    </w:rPr>
  </w:style>
  <w:style w:type="character" w:styleId="IntenseQuoteChar" w:customStyle="1">
    <w:name w:val="Intense Quote Char"/>
    <w:basedOn w:val="DefaultParagraphFont"/>
    <w:link w:val="IntenseQuote"/>
    <w:uiPriority w:val="30"/>
    <w:rsid w:val="00925FCA"/>
    <w:rPr>
      <w:i w:val="1"/>
      <w:iCs w:val="1"/>
      <w:color w:val="0f4761" w:themeColor="accent1" w:themeShade="0000BF"/>
    </w:rPr>
  </w:style>
  <w:style w:type="character" w:styleId="IntenseReference">
    <w:name w:val="Intense Reference"/>
    <w:basedOn w:val="DefaultParagraphFont"/>
    <w:uiPriority w:val="32"/>
    <w:qFormat w:val="1"/>
    <w:rsid w:val="00925FCA"/>
    <w:rPr>
      <w:b w:val="1"/>
      <w:bCs w:val="1"/>
      <w:smallCaps w:val="1"/>
      <w:color w:val="0f4761" w:themeColor="accent1" w:themeShade="0000BF"/>
      <w:spacing w:val="5"/>
    </w:rPr>
  </w:style>
  <w:style w:type="paragraph" w:styleId="p1" w:customStyle="1">
    <w:name w:val="p1"/>
    <w:basedOn w:val="Normal"/>
    <w:rsid w:val="00925FCA"/>
    <w:pPr>
      <w:spacing w:after="100" w:afterAutospacing="1" w:before="100" w:beforeAutospacing="1"/>
    </w:pPr>
  </w:style>
  <w:style w:type="paragraph" w:styleId="NormalWeb">
    <w:name w:val="Normal (Web)"/>
    <w:basedOn w:val="Normal"/>
    <w:uiPriority w:val="99"/>
    <w:unhideWhenUsed w:val="1"/>
    <w:rsid w:val="005F6A13"/>
    <w:pPr>
      <w:spacing w:after="100" w:afterAutospacing="1" w:before="100" w:beforeAutospacing="1"/>
    </w:pPr>
  </w:style>
  <w:style w:type="character" w:styleId="Emphasis">
    <w:name w:val="Emphasis"/>
    <w:basedOn w:val="DefaultParagraphFont"/>
    <w:uiPriority w:val="20"/>
    <w:qFormat w:val="1"/>
    <w:rsid w:val="005F6A13"/>
    <w:rPr>
      <w:i w:val="1"/>
      <w:iCs w:val="1"/>
    </w:rPr>
  </w:style>
  <w:style w:type="character" w:styleId="PlaceholderText">
    <w:name w:val="Placeholder Text"/>
    <w:basedOn w:val="DefaultParagraphFont"/>
    <w:uiPriority w:val="99"/>
    <w:semiHidden w:val="1"/>
    <w:rsid w:val="00930B23"/>
    <w:rPr>
      <w:color w:val="666666"/>
    </w:rPr>
  </w:style>
  <w:style w:type="character" w:styleId="mord" w:customStyle="1">
    <w:name w:val="mord"/>
    <w:basedOn w:val="DefaultParagraphFont"/>
    <w:rsid w:val="0058081E"/>
  </w:style>
  <w:style w:type="character" w:styleId="vlist" w:customStyle="1">
    <w:name w:val="vlist"/>
    <w:basedOn w:val="DefaultParagraphFont"/>
    <w:rsid w:val="0058081E"/>
  </w:style>
  <w:style w:type="character" w:styleId="mpunct" w:customStyle="1">
    <w:name w:val="mpunct"/>
    <w:basedOn w:val="DefaultParagraphFont"/>
    <w:rsid w:val="0058081E"/>
  </w:style>
  <w:style w:type="character" w:styleId="vlist-s" w:customStyle="1">
    <w:name w:val="vlist-s"/>
    <w:basedOn w:val="DefaultParagraphFont"/>
    <w:rsid w:val="0058081E"/>
  </w:style>
  <w:style w:type="character" w:styleId="mrel" w:customStyle="1">
    <w:name w:val="mrel"/>
    <w:basedOn w:val="DefaultParagraphFont"/>
    <w:rsid w:val="0058081E"/>
  </w:style>
  <w:style w:type="character" w:styleId="mbin" w:customStyle="1">
    <w:name w:val="mbin"/>
    <w:basedOn w:val="DefaultParagraphFont"/>
    <w:rsid w:val="0058081E"/>
  </w:style>
  <w:style w:type="character" w:styleId="Strong">
    <w:name w:val="Strong"/>
    <w:basedOn w:val="DefaultParagraphFont"/>
    <w:uiPriority w:val="22"/>
    <w:qFormat w:val="1"/>
    <w:rsid w:val="00111360"/>
    <w:rPr>
      <w:b w:val="1"/>
      <w:bCs w:val="1"/>
    </w:rPr>
  </w:style>
  <w:style w:type="table" w:styleId="TableGrid">
    <w:name w:val="Table Grid"/>
    <w:basedOn w:val="TableNormal"/>
    <w:uiPriority w:val="39"/>
    <w:rsid w:val="00111360"/>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Light">
    <w:name w:val="Grid Table Light"/>
    <w:basedOn w:val="TableNormal"/>
    <w:uiPriority w:val="40"/>
    <w:rsid w:val="00B613EE"/>
    <w:pPr>
      <w:spacing w:after="0" w:line="240" w:lineRule="auto"/>
    </w:p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table" w:styleId="PlainTable1">
    <w:name w:val="Plain Table 1"/>
    <w:basedOn w:val="TableNormal"/>
    <w:uiPriority w:val="41"/>
    <w:rsid w:val="00B613EE"/>
    <w:pPr>
      <w:spacing w:after="0" w:line="240" w:lineRule="auto"/>
    </w:pPr>
    <w:tblPr>
      <w:tblStyleRowBandSize w:val="1"/>
      <w:tblStyleColBandSize w:val="1"/>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tblStylePr w:type="firstRow">
      <w:rPr>
        <w:b w:val="1"/>
        <w:bCs w:val="1"/>
      </w:rPr>
    </w:tblStylePr>
    <w:tblStylePr w:type="lastRow">
      <w:rPr>
        <w:b w:val="1"/>
        <w:bCs w:val="1"/>
      </w:rPr>
      <w:tblPr/>
      <w:tcPr>
        <w:tcBorders>
          <w:top w:color="bfbfbf" w:space="0" w:sz="4" w:themeColor="background1" w:themeShade="0000BF" w:val="double"/>
        </w:tcBorders>
      </w:tc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table" w:styleId="PlainTable2">
    <w:name w:val="Plain Table 2"/>
    <w:basedOn w:val="TableNormal"/>
    <w:uiPriority w:val="42"/>
    <w:rsid w:val="00B613EE"/>
    <w:pPr>
      <w:spacing w:after="0" w:line="240" w:lineRule="auto"/>
    </w:pPr>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table" w:styleId="PlainTable3">
    <w:name w:val="Plain Table 3"/>
    <w:basedOn w:val="TableNormal"/>
    <w:uiPriority w:val="43"/>
    <w:rsid w:val="00B613EE"/>
    <w:pPr>
      <w:spacing w:after="0" w:line="240" w:lineRule="auto"/>
    </w:pPr>
    <w:tblPr>
      <w:tblStyleRowBandSize w:val="1"/>
      <w:tblStyleColBandSize w:val="1"/>
    </w:tblPr>
    <w:tblStylePr w:type="firstRow">
      <w:rPr>
        <w:b w:val="1"/>
        <w:bCs w:val="1"/>
        <w:caps w:val="1"/>
      </w:rPr>
      <w:tblPr/>
      <w:tcPr>
        <w:tcBorders>
          <w:bottom w:color="7f7f7f" w:space="0" w:sz="4" w:themeColor="text1" w:themeTint="000080"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themeColor="text1" w:themeTint="000080" w:val="single"/>
        </w:tcBorders>
      </w:tcPr>
    </w:tblStylePr>
    <w:tblStylePr w:type="lastCol">
      <w:rPr>
        <w:b w:val="1"/>
        <w:bCs w:val="1"/>
        <w:caps w:val="1"/>
      </w:rPr>
      <w:tblPr/>
      <w:tcPr>
        <w:tcBorders>
          <w:left w:space="0" w:sz="0" w:val="nil"/>
        </w:tcBorders>
      </w:tc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tblStylePr w:type="neCell">
      <w:tblPr/>
      <w:tcPr>
        <w:tcBorders>
          <w:left w:space="0" w:sz="0" w:val="nil"/>
        </w:tcBorders>
      </w:tcPr>
    </w:tblStylePr>
    <w:tblStylePr w:type="nwCell">
      <w:tblPr/>
      <w:tcPr>
        <w:tcBorders>
          <w:right w:space="0" w:sz="0" w:val="nil"/>
        </w:tcBorders>
      </w:tcPr>
    </w:tblStylePr>
  </w:style>
  <w:style w:type="table" w:styleId="PlainTable5">
    <w:name w:val="Plain Table 5"/>
    <w:basedOn w:val="TableNormal"/>
    <w:uiPriority w:val="45"/>
    <w:rsid w:val="00B613EE"/>
    <w:pPr>
      <w:spacing w:after="0" w:line="240" w:lineRule="auto"/>
    </w:pPr>
    <w:tblPr>
      <w:tblStyleRowBandSize w:val="1"/>
      <w:tblStyleColBandSize w:val="1"/>
    </w:tblPr>
    <w:tblStylePr w:type="firstRow">
      <w:rPr>
        <w:rFonts w:asciiTheme="majorHAnsi" w:cstheme="majorBidi" w:eastAsiaTheme="majorEastAsia" w:hAnsiTheme="majorHAnsi"/>
        <w:i w:val="1"/>
        <w:iCs w:val="1"/>
        <w:sz w:val="26"/>
      </w:rPr>
      <w:tblPr/>
      <w:tcPr>
        <w:tcBorders>
          <w:bottom w:color="7f7f7f" w:space="0" w:sz="4" w:themeColor="text1" w:themeTint="000080"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7f7f7f" w:space="0" w:sz="4" w:themeColor="text1" w:themeTint="000080"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7f7f7f" w:space="0" w:sz="4" w:themeColor="text1" w:themeTint="000080"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7f7f7f" w:space="0" w:sz="4" w:themeColor="text1" w:themeTint="000080" w:val="single"/>
        </w:tcBorders>
        <w:shd w:color="auto" w:fill="ffffff" w:themeFill="background1" w:val="clear"/>
      </w:tc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GridTable1Light">
    <w:name w:val="Grid Table 1 Light"/>
    <w:basedOn w:val="TableNormal"/>
    <w:uiPriority w:val="46"/>
    <w:rsid w:val="00B613EE"/>
    <w:pPr>
      <w:spacing w:after="0" w:line="240" w:lineRule="auto"/>
    </w:pPr>
    <w:tblPr>
      <w:tblStyleRowBandSize w:val="1"/>
      <w:tblStyleColBandSize w:val="1"/>
      <w:tblBorders>
        <w:top w:color="999999" w:space="0" w:sz="4" w:themeColor="text1" w:themeTint="000066" w:val="single"/>
        <w:left w:color="999999" w:space="0" w:sz="4" w:themeColor="text1" w:themeTint="000066" w:val="single"/>
        <w:bottom w:color="999999" w:space="0" w:sz="4" w:themeColor="text1" w:themeTint="000066" w:val="single"/>
        <w:right w:color="999999" w:space="0" w:sz="4" w:themeColor="text1" w:themeTint="000066" w:val="single"/>
        <w:insideH w:color="999999" w:space="0" w:sz="4" w:themeColor="text1" w:themeTint="000066" w:val="single"/>
        <w:insideV w:color="999999" w:space="0" w:sz="4" w:themeColor="text1" w:themeTint="000066" w:val="single"/>
      </w:tblBorders>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2" w:themeColor="text1" w:themeTint="000099" w:val="double"/>
        </w:tcBorders>
      </w:tcPr>
    </w:tblStylePr>
    <w:tblStylePr w:type="firstCol">
      <w:rPr>
        <w:b w:val="1"/>
        <w:bCs w:val="1"/>
      </w:rPr>
    </w:tblStylePr>
    <w:tblStylePr w:type="lastCol">
      <w:rPr>
        <w:b w:val="1"/>
        <w:bCs w:val="1"/>
      </w:rPr>
    </w:tblStylePr>
  </w:style>
  <w:style w:type="character" w:styleId="apple-converted-space" w:customStyle="1">
    <w:name w:val="apple-converted-space"/>
    <w:basedOn w:val="DefaultParagraphFont"/>
    <w:rsid w:val="00F37D49"/>
  </w:style>
  <w:style w:type="paragraph" w:styleId="Subtitle">
    <w:name w:val="Subtitle"/>
    <w:basedOn w:val="Normal"/>
    <w:next w:val="Normal"/>
    <w:pPr>
      <w:spacing w:after="160" w:line="278.00000000000006" w:lineRule="auto"/>
    </w:pPr>
    <w:rPr>
      <w:rFonts w:ascii="Aptos" w:cs="Aptos" w:eastAsia="Aptos" w:hAnsi="Aptos"/>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pPr>
        <w:jc w:val="right"/>
      </w:pPr>
      <w:rPr>
        <w:rFonts w:ascii="Play" w:cs="Play" w:eastAsia="Play" w:hAnsi="Play"/>
        <w:i w:val="1"/>
        <w:iCs w:val="1"/>
        <w:sz w:val="26"/>
        <w:szCs w:val="26"/>
      </w:rPr>
      <w:tcPr>
        <w:tcBorders>
          <w:right w:color="7f7f7f" w:space="0" w:sz="4" w:val="single"/>
        </w:tcBorders>
        <w:shd w:fill="ffffff" w:val="clear"/>
      </w:tcPr>
    </w:tblStylePr>
    <w:tblStylePr w:type="firstRow">
      <w:rPr>
        <w:rFonts w:ascii="Play" w:cs="Play" w:eastAsia="Play" w:hAnsi="Play"/>
        <w:i w:val="1"/>
        <w:iCs w:val="1"/>
        <w:sz w:val="26"/>
        <w:szCs w:val="26"/>
      </w:rPr>
      <w:tcPr>
        <w:tcBorders>
          <w:bottom w:color="7f7f7f" w:space="0" w:sz="4" w:val="single"/>
        </w:tcBorders>
        <w:shd w:fill="ffffff" w:val="clear"/>
      </w:tcPr>
    </w:tblStylePr>
    <w:tblStylePr w:type="lastCol">
      <w:rPr>
        <w:rFonts w:ascii="Play" w:cs="Play" w:eastAsia="Play" w:hAnsi="Play"/>
        <w:i w:val="1"/>
        <w:iCs w:val="1"/>
        <w:sz w:val="26"/>
        <w:szCs w:val="26"/>
      </w:rPr>
      <w:tcPr>
        <w:tcBorders>
          <w:left w:color="7f7f7f" w:space="0" w:sz="4" w:val="single"/>
        </w:tcBorders>
        <w:shd w:fill="ffffff" w:val="clear"/>
      </w:tcPr>
    </w:tblStylePr>
    <w:tblStylePr w:type="lastRow">
      <w:rPr>
        <w:rFonts w:ascii="Play" w:cs="Play" w:eastAsia="Play" w:hAnsi="Play"/>
        <w:i w:val="1"/>
        <w:iCs w:val="1"/>
        <w:sz w:val="26"/>
        <w:szCs w:val="26"/>
      </w:rPr>
      <w:tcPr>
        <w:tcBorders>
          <w:top w:color="7f7f7f" w:space="0" w:sz="4" w:val="single"/>
        </w:tcBorders>
        <w:shd w:fill="ffffff" w:val="clear"/>
      </w:tcPr>
    </w:tblStylePr>
    <w:tblStylePr w:type="neCell">
      <w:tcPr>
        <w:tcBorders>
          <w:left w:color="000000" w:space="0" w:sz="0" w:val="nil"/>
        </w:tcBorders>
      </w:tcPr>
    </w:tblStylePr>
    <w:tblStylePr w:type="nwCell">
      <w:tcPr>
        <w:tcBorders>
          <w:right w:color="000000" w:space="0" w:sz="0" w:val="nil"/>
        </w:tcBorders>
      </w:tcPr>
    </w:tblStylePr>
    <w:tblStylePr w:type="seCell">
      <w:tcPr>
        <w:tcBorders>
          <w:left w:color="000000" w:space="0" w:sz="0" w:val="nil"/>
        </w:tcBorders>
      </w:tcPr>
    </w:tblStylePr>
    <w:tblStylePr w:type="swCell">
      <w:tcPr>
        <w:tcBorders>
          <w:right w:color="000000" w:space="0" w:sz="0" w:val="nil"/>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pPr>
        <w:jc w:val="right"/>
      </w:pPr>
      <w:rPr>
        <w:rFonts w:ascii="Play" w:cs="Play" w:eastAsia="Play" w:hAnsi="Play"/>
        <w:i w:val="1"/>
        <w:iCs w:val="1"/>
        <w:sz w:val="26"/>
        <w:szCs w:val="26"/>
      </w:rPr>
      <w:tcPr>
        <w:tcBorders>
          <w:right w:color="7f7f7f" w:space="0" w:sz="4" w:val="single"/>
        </w:tcBorders>
        <w:shd w:fill="ffffff" w:val="clear"/>
      </w:tcPr>
    </w:tblStylePr>
    <w:tblStylePr w:type="firstRow">
      <w:rPr>
        <w:rFonts w:ascii="Play" w:cs="Play" w:eastAsia="Play" w:hAnsi="Play"/>
        <w:i w:val="1"/>
        <w:iCs w:val="1"/>
        <w:sz w:val="26"/>
        <w:szCs w:val="26"/>
      </w:rPr>
      <w:tcPr>
        <w:tcBorders>
          <w:bottom w:color="7f7f7f" w:space="0" w:sz="4" w:val="single"/>
        </w:tcBorders>
        <w:shd w:fill="ffffff" w:val="clear"/>
      </w:tcPr>
    </w:tblStylePr>
    <w:tblStylePr w:type="lastCol">
      <w:rPr>
        <w:rFonts w:ascii="Play" w:cs="Play" w:eastAsia="Play" w:hAnsi="Play"/>
        <w:i w:val="1"/>
        <w:iCs w:val="1"/>
        <w:sz w:val="26"/>
        <w:szCs w:val="26"/>
      </w:rPr>
      <w:tcPr>
        <w:tcBorders>
          <w:left w:color="7f7f7f" w:space="0" w:sz="4" w:val="single"/>
        </w:tcBorders>
        <w:shd w:fill="ffffff" w:val="clear"/>
      </w:tcPr>
    </w:tblStylePr>
    <w:tblStylePr w:type="lastRow">
      <w:rPr>
        <w:rFonts w:ascii="Play" w:cs="Play" w:eastAsia="Play" w:hAnsi="Play"/>
        <w:i w:val="1"/>
        <w:iCs w:val="1"/>
        <w:sz w:val="26"/>
        <w:szCs w:val="26"/>
      </w:rPr>
      <w:tcPr>
        <w:tcBorders>
          <w:top w:color="7f7f7f" w:space="0" w:sz="4" w:val="single"/>
        </w:tcBorders>
        <w:shd w:fill="ffffff" w:val="clear"/>
      </w:tcPr>
    </w:tblStylePr>
    <w:tblStylePr w:type="neCell">
      <w:tcPr>
        <w:tcBorders>
          <w:left w:color="000000" w:space="0" w:sz="0" w:val="nil"/>
        </w:tcBorders>
      </w:tcPr>
    </w:tblStylePr>
    <w:tblStylePr w:type="nwCell">
      <w:tcPr>
        <w:tcBorders>
          <w:right w:color="000000" w:space="0" w:sz="0" w:val="nil"/>
        </w:tcBorders>
      </w:tcPr>
    </w:tblStylePr>
    <w:tblStylePr w:type="seCell">
      <w:tcPr>
        <w:tcBorders>
          <w:left w:color="000000" w:space="0" w:sz="0" w:val="nil"/>
        </w:tcBorders>
      </w:tcPr>
    </w:tblStylePr>
    <w:tblStylePr w:type="swCell">
      <w:tcPr>
        <w:tcBorders>
          <w:right w:color="000000" w:space="0" w:sz="0" w:val="nil"/>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spPr>
      <a:bodyPr wrap="square" rtlCol="0"/>
      <a:lstStyle/>
    </a:tx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FcxKokahmL5UmMXbT9LxB1u4AQ==">CgMxLjA4AHIhMXlpMjE2V2h6MFJzWW1SbFkxSnpEdlhSWlBZRk14alpT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2026-10-09T10:30:00Z</dcterms:created>
  <dc:creator>Aarav Bhagwat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5114f3-3456-4364-8944-720dbb2a7906_Enabled">
    <vt:lpwstr>true</vt:lpwstr>
  </property>
  <property fmtid="{D5CDD505-2E9C-101B-9397-08002B2CF9AE}" pid="3" name="MSIP_Label_3c5114f3-3456-4364-8944-720dbb2a7906_SetDate">
    <vt:lpwstr>2026-10-09T10:16:08Z</vt:lpwstr>
  </property>
  <property fmtid="{D5CDD505-2E9C-101B-9397-08002B2CF9AE}" pid="4" name="MSIP_Label_3c5114f3-3456-4364-8944-720dbb2a7906_Method">
    <vt:lpwstr>Privileged</vt:lpwstr>
  </property>
  <property fmtid="{D5CDD505-2E9C-101B-9397-08002B2CF9AE}" pid="5" name="MSIP_Label_3c5114f3-3456-4364-8944-720dbb2a7906_Name">
    <vt:lpwstr>3c5114f3-3456-4364-8944-720dbb2a7906</vt:lpwstr>
  </property>
  <property fmtid="{D5CDD505-2E9C-101B-9397-08002B2CF9AE}" pid="6" name="MSIP_Label_3c5114f3-3456-4364-8944-720dbb2a7906_SiteId">
    <vt:lpwstr>d2b3a7dc-d57e-417f-90ad-149b872e9aa1</vt:lpwstr>
  </property>
  <property fmtid="{D5CDD505-2E9C-101B-9397-08002B2CF9AE}" pid="7" name="MSIP_Label_3c5114f3-3456-4364-8944-720dbb2a7906_ActionId">
    <vt:lpwstr>c014513a-5570-43c5-a0cf-ea6c3a09c20a</vt:lpwstr>
  </property>
  <property fmtid="{D5CDD505-2E9C-101B-9397-08002B2CF9AE}" pid="8" name="MSIP_Label_3c5114f3-3456-4364-8944-720dbb2a7906_ContentBits">
    <vt:lpwstr>0</vt:lpwstr>
  </property>
  <property fmtid="{D5CDD505-2E9C-101B-9397-08002B2CF9AE}" pid="9" name="MSIP_Label_3c5114f3-3456-4364-8944-720dbb2a7906_Tag">
    <vt:lpwstr>50, 0, 1, 1</vt:lpwstr>
  </property>
</Properties>
</file>